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简体" w:eastAsia="方正小标宋简体"/>
          <w:sz w:val="44"/>
          <w:szCs w:val="44"/>
        </w:rPr>
      </w:pPr>
      <w:r>
        <w:rPr>
          <w:rFonts w:hint="eastAsia" w:ascii="方正小标宋简体" w:hAnsi="宋体" w:eastAsia="方正小标宋简体"/>
          <w:sz w:val="44"/>
          <w:szCs w:val="44"/>
        </w:rPr>
        <w:t>永清县</w:t>
      </w:r>
      <w:r>
        <w:rPr>
          <w:rFonts w:hint="eastAsia" w:ascii="方正小标宋简体" w:hAnsi="宋体" w:eastAsia="方正小标宋简体"/>
          <w:sz w:val="44"/>
          <w:szCs w:val="44"/>
          <w:lang w:eastAsia="zh-CN"/>
        </w:rPr>
        <w:t>曹家务</w:t>
      </w:r>
      <w:r>
        <w:rPr>
          <w:rFonts w:hint="eastAsia" w:ascii="方正小标宋简体" w:hAnsi="宋体" w:eastAsia="方正小标宋简体"/>
          <w:sz w:val="44"/>
          <w:szCs w:val="44"/>
        </w:rPr>
        <w:t>乡人民政府</w:t>
      </w:r>
      <w:r>
        <w:rPr>
          <w:rFonts w:ascii="方正小标宋简体" w:hAnsi="宋体" w:eastAsia="方正小标宋简体"/>
          <w:sz w:val="44"/>
          <w:szCs w:val="44"/>
        </w:rPr>
        <w:t>2019</w:t>
      </w:r>
      <w:r>
        <w:rPr>
          <w:rFonts w:hint="eastAsia" w:ascii="方正小标宋简体" w:hAnsi="宋体" w:eastAsia="方正小标宋简体"/>
          <w:sz w:val="44"/>
          <w:szCs w:val="44"/>
        </w:rPr>
        <w:t>年部门预算信息公开</w:t>
      </w:r>
    </w:p>
    <w:p>
      <w:pPr>
        <w:jc w:val="center"/>
        <w:rPr>
          <w:rFonts w:ascii="仿宋_GB2312" w:hAnsi="Times New Roman" w:eastAsia="仿宋_GB2312"/>
          <w:sz w:val="32"/>
          <w:szCs w:val="32"/>
        </w:rPr>
      </w:pPr>
    </w:p>
    <w:p>
      <w:pPr>
        <w:ind w:firstLine="640" w:firstLineChars="200"/>
        <w:rPr>
          <w:rFonts w:ascii="仿宋_GB2312" w:hAnsi="微软雅黑" w:eastAsia="仿宋_GB2312"/>
          <w:sz w:val="32"/>
          <w:szCs w:val="32"/>
        </w:rPr>
      </w:pPr>
      <w:r>
        <w:rPr>
          <w:rFonts w:hint="eastAsia" w:ascii="仿宋_GB2312" w:hAnsi="微软雅黑" w:eastAsia="仿宋_GB2312"/>
          <w:sz w:val="32"/>
          <w:szCs w:val="32"/>
        </w:rPr>
        <w:t>按照《</w:t>
      </w:r>
      <w:r>
        <w:rPr>
          <w:rFonts w:hint="eastAsia" w:ascii="仿宋_GB2312" w:hAnsi="微软雅黑" w:eastAsia="仿宋_GB2312"/>
          <w:sz w:val="32"/>
          <w:szCs w:val="32"/>
          <w:lang w:eastAsia="zh-CN"/>
        </w:rPr>
        <w:t>中华人民共和国</w:t>
      </w:r>
      <w:bookmarkStart w:id="2" w:name="_GoBack"/>
      <w:bookmarkEnd w:id="2"/>
      <w:r>
        <w:rPr>
          <w:rFonts w:hint="eastAsia" w:ascii="仿宋_GB2312" w:hAnsi="微软雅黑" w:eastAsia="仿宋_GB2312"/>
          <w:sz w:val="32"/>
          <w:szCs w:val="32"/>
        </w:rPr>
        <w:t>预算法》、《地方预决算公开操作规程》和《河北省省级预算公开办法》规定，现将永清县</w:t>
      </w:r>
      <w:r>
        <w:rPr>
          <w:rFonts w:hint="eastAsia" w:ascii="仿宋_GB2312" w:hAnsi="微软雅黑" w:eastAsia="仿宋_GB2312"/>
          <w:sz w:val="32"/>
          <w:szCs w:val="32"/>
          <w:lang w:eastAsia="zh-CN"/>
        </w:rPr>
        <w:t>曹家务</w:t>
      </w:r>
      <w:r>
        <w:rPr>
          <w:rFonts w:hint="eastAsia" w:ascii="仿宋_GB2312" w:hAnsi="微软雅黑" w:eastAsia="仿宋_GB2312"/>
          <w:sz w:val="32"/>
          <w:szCs w:val="32"/>
        </w:rPr>
        <w:t>乡人民政府</w:t>
      </w:r>
      <w:r>
        <w:rPr>
          <w:rFonts w:ascii="Times New Roman" w:hAnsi="Times New Roman" w:eastAsia="仿宋_GB2312"/>
          <w:sz w:val="32"/>
          <w:szCs w:val="32"/>
        </w:rPr>
        <w:t>2019</w:t>
      </w:r>
      <w:r>
        <w:rPr>
          <w:rFonts w:hint="eastAsia" w:ascii="仿宋_GB2312" w:hAnsi="微软雅黑" w:eastAsia="仿宋_GB2312"/>
          <w:sz w:val="32"/>
          <w:szCs w:val="32"/>
        </w:rPr>
        <w:t>年部门预算公开如下：</w:t>
      </w:r>
    </w:p>
    <w:p>
      <w:pPr>
        <w:ind w:firstLine="640"/>
        <w:rPr>
          <w:rFonts w:ascii="黑体" w:hAnsi="黑体" w:eastAsia="黑体"/>
          <w:sz w:val="32"/>
          <w:szCs w:val="32"/>
        </w:rPr>
      </w:pPr>
      <w:r>
        <w:rPr>
          <w:rFonts w:hint="eastAsia" w:ascii="黑体" w:hAnsi="黑体" w:eastAsia="黑体"/>
          <w:sz w:val="32"/>
          <w:szCs w:val="32"/>
        </w:rPr>
        <w:t>一、部门职责及机构设置情况</w:t>
      </w:r>
    </w:p>
    <w:p>
      <w:pPr>
        <w:ind w:firstLine="642" w:firstLineChars="200"/>
        <w:rPr>
          <w:rFonts w:ascii="楷体_GB2312" w:hAnsi="Times New Roman" w:eastAsia="楷体_GB2312"/>
          <w:b/>
          <w:sz w:val="32"/>
          <w:szCs w:val="32"/>
        </w:rPr>
      </w:pPr>
      <w:r>
        <w:rPr>
          <w:rFonts w:hint="eastAsia" w:ascii="楷体_GB2312" w:hAnsi="Times New Roman" w:eastAsia="楷体_GB2312"/>
          <w:b/>
          <w:sz w:val="32"/>
          <w:szCs w:val="32"/>
        </w:rPr>
        <w:t>部门职责：</w:t>
      </w:r>
    </w:p>
    <w:p>
      <w:pPr>
        <w:autoSpaceDE w:val="0"/>
        <w:autoSpaceDN w:val="0"/>
        <w:adjustRightInd w:val="0"/>
        <w:ind w:firstLine="640" w:firstLineChars="200"/>
        <w:jc w:val="left"/>
        <w:rPr>
          <w:rFonts w:ascii="仿宋_GB2312" w:hAnsi="仿宋" w:eastAsia="仿宋_GB2312" w:cs="仿宋"/>
          <w:sz w:val="32"/>
          <w:szCs w:val="32"/>
        </w:rPr>
      </w:pPr>
      <w:r>
        <w:rPr>
          <w:rFonts w:hint="eastAsia" w:ascii="仿宋_GB2312" w:hAnsi="仿宋" w:eastAsia="仿宋_GB2312" w:cs="仿宋"/>
          <w:sz w:val="32"/>
          <w:szCs w:val="32"/>
        </w:rPr>
        <w:t>乡党委、政府处于领导农业和农村工作的第一线，承担着建设社会主义新农村的光荣使命。</w:t>
      </w:r>
    </w:p>
    <w:p>
      <w:pPr>
        <w:autoSpaceDE w:val="0"/>
        <w:autoSpaceDN w:val="0"/>
        <w:adjustRightInd w:val="0"/>
        <w:ind w:firstLine="640" w:firstLineChars="200"/>
        <w:jc w:val="left"/>
        <w:rPr>
          <w:rFonts w:ascii="仿宋_GB2312" w:hAnsi="仿宋" w:eastAsia="仿宋_GB2312" w:cs="仿宋"/>
          <w:sz w:val="32"/>
          <w:szCs w:val="32"/>
        </w:rPr>
      </w:pPr>
      <w:r>
        <w:rPr>
          <w:rFonts w:hint="eastAsia" w:ascii="仿宋_GB2312" w:hAnsi="仿宋" w:eastAsia="仿宋_GB2312" w:cs="仿宋"/>
          <w:sz w:val="32"/>
          <w:szCs w:val="32"/>
        </w:rPr>
        <w:t>乡党委要按照便于集中统一领导、便于有利于开展工作的要求，进一步理顺党委与政府及人民团体的职责分工，抓好党在农村各项方针政策的落实，加强基层组织和政权建设。紧紧围绕加快农业和农村经济结构战略性调整，抓好“两个文明”建设，加强对各项工作的统一领导，充分发挥总揽全局、协调各方面关系的领导核心作用。</w:t>
      </w:r>
    </w:p>
    <w:p>
      <w:pPr>
        <w:autoSpaceDE w:val="0"/>
        <w:autoSpaceDN w:val="0"/>
        <w:adjustRightInd w:val="0"/>
        <w:ind w:firstLine="640" w:firstLineChars="200"/>
        <w:jc w:val="left"/>
        <w:rPr>
          <w:rFonts w:ascii="仿宋_GB2312" w:hAnsi="仿宋" w:eastAsia="仿宋_GB2312" w:cs="仿宋"/>
          <w:sz w:val="32"/>
          <w:szCs w:val="32"/>
        </w:rPr>
      </w:pPr>
      <w:r>
        <w:rPr>
          <w:rFonts w:hint="eastAsia" w:ascii="仿宋_GB2312" w:hAnsi="仿宋" w:eastAsia="仿宋_GB2312" w:cs="仿宋"/>
          <w:sz w:val="32"/>
          <w:szCs w:val="32"/>
        </w:rPr>
        <w:t>乡政府要按照社会主义市场经济的客观要求，加强农村社会主义民主政治和法制建设，依法行政，规范管理；加强对农业和农村工作的指导，深化农村改革，全面发展农村经济；要进一步增强乡政府统一管理经济、教育、科学、文化、卫生、体育事业和财政、民政、土地、计划生育等行政工作的职能，推进农村经济全面发展和社会全面进步，实现共同富裕。围绕这一目标，乡政府要切实转变职能，具体要求是：强化引导功能，集中精力抓好党的农村工作方针政策落实，抓好基层政权建设和农业产业结构调整等带有方向性和全局性的工作，引导农村富余劳动力向小城镇转移，促进农村的现代化建设。强化服务功能，着重在技术、信息、人才、资金等方面为农民提供服务，为企业发展创造条件，大力培育和发展各类经济服务实体和社会中介组织，推动农业产业化服务体系的发展与完善，搞好产前、产中、产后服务，努力增加农民收入，减轻财政和农民负担。强化协调职能，使事业站（所）以及基层工商、税务等机构，能够围绕中心工作互相配合。同时，进一步规范乡政府和村级组织的工作职能。</w:t>
      </w:r>
    </w:p>
    <w:p>
      <w:pPr>
        <w:autoSpaceDE w:val="0"/>
        <w:autoSpaceDN w:val="0"/>
        <w:adjustRightInd w:val="0"/>
        <w:ind w:firstLine="640" w:firstLineChars="200"/>
        <w:jc w:val="left"/>
        <w:rPr>
          <w:rFonts w:ascii="仿宋_GB2312" w:hAnsi="仿宋" w:eastAsia="仿宋_GB2312" w:cs="仿宋"/>
          <w:sz w:val="32"/>
          <w:szCs w:val="32"/>
        </w:rPr>
      </w:pPr>
      <w:r>
        <w:rPr>
          <w:rFonts w:hint="eastAsia" w:ascii="仿宋_GB2312" w:hAnsi="仿宋" w:eastAsia="仿宋_GB2312" w:cs="仿宋"/>
          <w:sz w:val="32"/>
          <w:szCs w:val="32"/>
        </w:rPr>
        <w:t>乡党委、政府作为党在农村的基层组织和基层政权，对本地经济和社会发展负有领导责任，具有综合管理和协调的功能。进一步理顺县乡关系，建立以块为主、条块结合的行政管理体制。涉农和为基层服务的事业单位，如农机推广、畜牧兽医、林业、水利、文化广播等，其人员和事业经费由乡统一管理；专业性较强的单位，如财政、司法、土地等，实行乡和县主管部门双重管理，以乡管理为主，上级业务部门实行业务领导或指导；实行省以下垂直管理的工商所、地税所和公安派出所、法庭、中小学、卫生院以及信用社、供销社、粮站、电管所等单位，由主管部门管理，接受乡党委、政府的监督，党的关系由乡党委管理，主要领导干部的任免、奖惩，必须征求乡党委的意见。</w:t>
      </w:r>
    </w:p>
    <w:p>
      <w:pPr>
        <w:autoSpaceDE w:val="0"/>
        <w:autoSpaceDN w:val="0"/>
        <w:adjustRightInd w:val="0"/>
        <w:ind w:firstLine="640" w:firstLineChars="200"/>
        <w:jc w:val="left"/>
        <w:rPr>
          <w:rFonts w:ascii="仿宋_GB2312" w:hAnsi="仿宋" w:eastAsia="仿宋_GB2312" w:cs="仿宋"/>
          <w:sz w:val="32"/>
          <w:szCs w:val="32"/>
        </w:rPr>
      </w:pPr>
      <w:r>
        <w:rPr>
          <w:rFonts w:hint="eastAsia" w:ascii="仿宋_GB2312" w:hAnsi="仿宋" w:eastAsia="仿宋_GB2312" w:cs="仿宋"/>
          <w:sz w:val="32"/>
          <w:szCs w:val="32"/>
        </w:rPr>
        <w:t>要大力推进事业单位改革。根据中央精神，乡镇事业机构改革要与党政机关机构改革同步进行。要适应农村社会主义市场经济发展要求，积极探索符合实际需要的事业站（所）设置形式。对职责任务基本消亡、不具备开展业务条件、多年不出成果不创效益的站（所）要撤销，对重复设置、分工过细、业务量不大的站（所）可以合并，要打破行业和部门界限实行综合设置。事业单位的设置形式，根据实际需要和财政承受能力确定。要推行分类管理，纠正事业单位行政化倾向。对兼有行政职能的站（所）实行政事分开，将行政职能划归政府，使事业单位逐步成为从事经济和社会活动的独立法人。对服务型的事业单位，要引入市场机制，探索企业化、社会化路子，条件成熟的转为服务实体；对社会公益型的事业单位，财政可给予适当扶持，积极鼓励社会力量兴办。要会同县教育局结合中小学教职工定编工作，精干教师队伍。</w:t>
      </w:r>
    </w:p>
    <w:p>
      <w:pPr>
        <w:autoSpaceDE w:val="0"/>
        <w:autoSpaceDN w:val="0"/>
        <w:adjustRightInd w:val="0"/>
        <w:ind w:firstLine="640" w:firstLineChars="200"/>
        <w:jc w:val="left"/>
        <w:rPr>
          <w:rFonts w:ascii="仿宋_GB2312" w:hAnsi="仿宋" w:eastAsia="仿宋_GB2312" w:cs="仿宋"/>
          <w:sz w:val="32"/>
          <w:szCs w:val="32"/>
        </w:rPr>
      </w:pPr>
      <w:r>
        <w:rPr>
          <w:rFonts w:hint="eastAsia" w:ascii="仿宋_GB2312" w:hAnsi="仿宋" w:eastAsia="仿宋_GB2312" w:cs="仿宋"/>
          <w:sz w:val="32"/>
          <w:szCs w:val="32"/>
        </w:rPr>
        <w:t>通过乡镇机构改革，切实减轻农村负担，让广大农民感到满意，得到实惠。</w:t>
      </w:r>
    </w:p>
    <w:p>
      <w:pPr>
        <w:autoSpaceDE w:val="0"/>
        <w:autoSpaceDN w:val="0"/>
        <w:adjustRightInd w:val="0"/>
        <w:ind w:firstLine="642" w:firstLineChars="200"/>
        <w:jc w:val="left"/>
        <w:rPr>
          <w:rFonts w:ascii="楷体_GB2312" w:hAnsi="Times New Roman" w:eastAsia="楷体_GB2312"/>
          <w:b/>
          <w:sz w:val="32"/>
          <w:szCs w:val="32"/>
        </w:rPr>
      </w:pPr>
      <w:r>
        <w:rPr>
          <w:rFonts w:hint="eastAsia" w:ascii="楷体_GB2312" w:hAnsi="Times New Roman" w:eastAsia="楷体_GB2312"/>
          <w:b/>
          <w:sz w:val="32"/>
          <w:szCs w:val="32"/>
        </w:rPr>
        <w:t>机构设置：</w:t>
      </w:r>
    </w:p>
    <w:p>
      <w:pPr>
        <w:jc w:val="center"/>
        <w:outlineLvl w:val="0"/>
        <w:rPr>
          <w:rFonts w:ascii="Times New Roman" w:hAnsi="Times New Roman" w:eastAsia="方正小标宋_GBK"/>
          <w:sz w:val="32"/>
          <w:szCs w:val="24"/>
        </w:rPr>
      </w:pPr>
      <w:r>
        <w:rPr>
          <w:rFonts w:hint="eastAsia" w:ascii="Times New Roman" w:hAnsi="Times New Roman" w:eastAsia="方正小标宋_GBK"/>
          <w:sz w:val="32"/>
          <w:szCs w:val="24"/>
        </w:rPr>
        <w:t>部门机构设置情况</w:t>
      </w:r>
    </w:p>
    <w:tbl>
      <w:tblPr>
        <w:tblStyle w:val="7"/>
        <w:tblW w:w="975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4443"/>
        <w:gridCol w:w="1134"/>
        <w:gridCol w:w="1276"/>
        <w:gridCol w:w="2902"/>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tblHeader/>
          <w:jc w:val="center"/>
        </w:trPr>
        <w:tc>
          <w:tcPr>
            <w:tcW w:w="4443" w:type="dxa"/>
            <w:vMerge w:val="restart"/>
            <w:vAlign w:val="center"/>
          </w:tcPr>
          <w:p>
            <w:pPr>
              <w:spacing w:line="300" w:lineRule="exact"/>
              <w:jc w:val="center"/>
              <w:rPr>
                <w:rFonts w:ascii="Times New Roman" w:hAnsi="Times New Roman" w:eastAsia="方正书宋_GBK"/>
                <w:b/>
                <w:szCs w:val="24"/>
              </w:rPr>
            </w:pPr>
            <w:r>
              <w:rPr>
                <w:rFonts w:hint="eastAsia" w:ascii="Times New Roman" w:hAnsi="Times New Roman" w:eastAsia="方正书宋_GBK"/>
                <w:b/>
                <w:szCs w:val="24"/>
              </w:rPr>
              <w:t>单位名称</w:t>
            </w:r>
          </w:p>
        </w:tc>
        <w:tc>
          <w:tcPr>
            <w:tcW w:w="1134" w:type="dxa"/>
            <w:vMerge w:val="restart"/>
            <w:vAlign w:val="center"/>
          </w:tcPr>
          <w:p>
            <w:pPr>
              <w:spacing w:line="300" w:lineRule="exact"/>
              <w:jc w:val="center"/>
              <w:rPr>
                <w:rFonts w:ascii="Times New Roman" w:hAnsi="Times New Roman" w:eastAsia="方正书宋_GBK"/>
                <w:b/>
                <w:szCs w:val="24"/>
              </w:rPr>
            </w:pPr>
            <w:r>
              <w:rPr>
                <w:rFonts w:hint="eastAsia" w:ascii="Times New Roman" w:hAnsi="Times New Roman" w:eastAsia="方正书宋_GBK"/>
                <w:b/>
                <w:szCs w:val="24"/>
              </w:rPr>
              <w:t>单位性质</w:t>
            </w:r>
          </w:p>
        </w:tc>
        <w:tc>
          <w:tcPr>
            <w:tcW w:w="1276" w:type="dxa"/>
            <w:vMerge w:val="restart"/>
            <w:vAlign w:val="center"/>
          </w:tcPr>
          <w:p>
            <w:pPr>
              <w:spacing w:line="300" w:lineRule="exact"/>
              <w:jc w:val="center"/>
              <w:rPr>
                <w:rFonts w:ascii="Times New Roman" w:hAnsi="Times New Roman" w:eastAsia="方正书宋_GBK"/>
                <w:b/>
                <w:szCs w:val="24"/>
              </w:rPr>
            </w:pPr>
            <w:r>
              <w:rPr>
                <w:rFonts w:hint="eastAsia" w:ascii="Times New Roman" w:hAnsi="Times New Roman" w:eastAsia="方正书宋_GBK"/>
                <w:b/>
                <w:szCs w:val="24"/>
              </w:rPr>
              <w:t>单位规格</w:t>
            </w:r>
          </w:p>
        </w:tc>
        <w:tc>
          <w:tcPr>
            <w:tcW w:w="2902" w:type="dxa"/>
            <w:vMerge w:val="restart"/>
            <w:vAlign w:val="center"/>
          </w:tcPr>
          <w:p>
            <w:pPr>
              <w:spacing w:line="300" w:lineRule="exact"/>
              <w:jc w:val="center"/>
              <w:rPr>
                <w:rFonts w:ascii="Times New Roman" w:hAnsi="Times New Roman" w:eastAsia="方正书宋_GBK"/>
                <w:b/>
                <w:szCs w:val="24"/>
              </w:rPr>
            </w:pPr>
            <w:r>
              <w:rPr>
                <w:rFonts w:hint="eastAsia" w:ascii="Times New Roman" w:hAnsi="Times New Roman" w:eastAsia="方正书宋_GBK"/>
                <w:b/>
                <w:szCs w:val="24"/>
              </w:rPr>
              <w:t>经费保障形式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tblHeader/>
          <w:jc w:val="center"/>
        </w:trPr>
        <w:tc>
          <w:tcPr>
            <w:tcW w:w="4443" w:type="dxa"/>
            <w:vMerge w:val="continue"/>
            <w:vAlign w:val="center"/>
          </w:tcPr>
          <w:p>
            <w:pPr>
              <w:spacing w:line="300" w:lineRule="exact"/>
              <w:jc w:val="left"/>
              <w:outlineLvl w:val="0"/>
              <w:rPr>
                <w:rFonts w:ascii="Times New Roman" w:hAnsi="Times New Roman"/>
                <w:szCs w:val="24"/>
              </w:rPr>
            </w:pPr>
          </w:p>
        </w:tc>
        <w:tc>
          <w:tcPr>
            <w:tcW w:w="1134" w:type="dxa"/>
            <w:vMerge w:val="continue"/>
            <w:vAlign w:val="center"/>
          </w:tcPr>
          <w:p>
            <w:pPr>
              <w:spacing w:line="300" w:lineRule="exact"/>
              <w:jc w:val="left"/>
              <w:outlineLvl w:val="0"/>
              <w:rPr>
                <w:rFonts w:ascii="Times New Roman" w:hAnsi="Times New Roman"/>
                <w:szCs w:val="24"/>
              </w:rPr>
            </w:pPr>
          </w:p>
        </w:tc>
        <w:tc>
          <w:tcPr>
            <w:tcW w:w="1276" w:type="dxa"/>
            <w:vMerge w:val="continue"/>
            <w:vAlign w:val="center"/>
          </w:tcPr>
          <w:p>
            <w:pPr>
              <w:spacing w:line="300" w:lineRule="exact"/>
              <w:jc w:val="left"/>
              <w:outlineLvl w:val="0"/>
              <w:rPr>
                <w:rFonts w:ascii="Times New Roman" w:hAnsi="Times New Roman"/>
                <w:szCs w:val="24"/>
              </w:rPr>
            </w:pPr>
          </w:p>
        </w:tc>
        <w:tc>
          <w:tcPr>
            <w:tcW w:w="2902" w:type="dxa"/>
            <w:vMerge w:val="continue"/>
            <w:vAlign w:val="center"/>
          </w:tcPr>
          <w:p>
            <w:pPr>
              <w:spacing w:line="300" w:lineRule="exact"/>
              <w:jc w:val="left"/>
              <w:outlineLvl w:val="0"/>
              <w:rPr>
                <w:rFonts w:ascii="Times New Roman" w:hAnsi="Times New Roman"/>
                <w:szCs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4443" w:type="dxa"/>
            <w:vAlign w:val="center"/>
          </w:tcPr>
          <w:p>
            <w:pPr>
              <w:spacing w:line="300" w:lineRule="exact"/>
              <w:jc w:val="center"/>
              <w:rPr>
                <w:rFonts w:ascii="Times New Roman" w:hAnsi="Times New Roman" w:eastAsia="方正书宋_GBK"/>
                <w:szCs w:val="24"/>
              </w:rPr>
            </w:pPr>
            <w:r>
              <w:rPr>
                <w:rFonts w:hint="eastAsia" w:ascii="Times New Roman" w:hAnsi="Times New Roman" w:eastAsia="方正书宋_GBK"/>
                <w:szCs w:val="24"/>
              </w:rPr>
              <w:t>永清县</w:t>
            </w:r>
            <w:r>
              <w:rPr>
                <w:rFonts w:hint="eastAsia" w:ascii="Times New Roman" w:hAnsi="Times New Roman" w:eastAsia="方正书宋_GBK"/>
                <w:szCs w:val="24"/>
                <w:lang w:eastAsia="zh-CN"/>
              </w:rPr>
              <w:t>曹家务</w:t>
            </w:r>
            <w:r>
              <w:rPr>
                <w:rFonts w:hint="eastAsia" w:ascii="Times New Roman" w:hAnsi="Times New Roman" w:eastAsia="方正书宋_GBK"/>
                <w:szCs w:val="24"/>
              </w:rPr>
              <w:t>乡人民政府</w:t>
            </w:r>
          </w:p>
        </w:tc>
        <w:tc>
          <w:tcPr>
            <w:tcW w:w="1134" w:type="dxa"/>
            <w:vAlign w:val="center"/>
          </w:tcPr>
          <w:p>
            <w:pPr>
              <w:spacing w:line="300" w:lineRule="exact"/>
              <w:jc w:val="center"/>
              <w:rPr>
                <w:rFonts w:ascii="Times New Roman" w:hAnsi="Times New Roman" w:eastAsia="方正书宋_GBK"/>
                <w:szCs w:val="24"/>
              </w:rPr>
            </w:pPr>
            <w:r>
              <w:rPr>
                <w:rFonts w:hint="eastAsia" w:ascii="Times New Roman" w:hAnsi="Times New Roman" w:eastAsia="方正书宋_GBK"/>
                <w:szCs w:val="24"/>
              </w:rPr>
              <w:t>行政</w:t>
            </w:r>
          </w:p>
        </w:tc>
        <w:tc>
          <w:tcPr>
            <w:tcW w:w="1276" w:type="dxa"/>
            <w:vAlign w:val="center"/>
          </w:tcPr>
          <w:p>
            <w:pPr>
              <w:spacing w:line="300" w:lineRule="exact"/>
              <w:jc w:val="center"/>
              <w:rPr>
                <w:rFonts w:ascii="Times New Roman" w:hAnsi="Times New Roman" w:eastAsia="方正书宋_GBK"/>
                <w:szCs w:val="24"/>
              </w:rPr>
            </w:pPr>
            <w:r>
              <w:rPr>
                <w:rFonts w:hint="eastAsia" w:ascii="Times New Roman" w:hAnsi="Times New Roman" w:eastAsia="方正书宋_GBK"/>
                <w:szCs w:val="24"/>
              </w:rPr>
              <w:t>正科级</w:t>
            </w:r>
          </w:p>
        </w:tc>
        <w:tc>
          <w:tcPr>
            <w:tcW w:w="2902" w:type="dxa"/>
            <w:vAlign w:val="center"/>
          </w:tcPr>
          <w:p>
            <w:pPr>
              <w:spacing w:line="300" w:lineRule="exact"/>
              <w:jc w:val="center"/>
              <w:rPr>
                <w:rFonts w:ascii="Times New Roman" w:hAnsi="Times New Roman" w:eastAsia="方正书宋_GBK"/>
                <w:szCs w:val="24"/>
              </w:rPr>
            </w:pPr>
            <w:r>
              <w:rPr>
                <w:rFonts w:hint="eastAsia" w:ascii="Times New Roman" w:hAnsi="Times New Roman" w:eastAsia="方正书宋_GBK"/>
                <w:szCs w:val="24"/>
              </w:rPr>
              <w:t>财政拨款</w:t>
            </w:r>
          </w:p>
        </w:tc>
      </w:tr>
    </w:tbl>
    <w:p>
      <w:r>
        <w:t xml:space="preserve"> </w:t>
      </w:r>
    </w:p>
    <w:p>
      <w:pPr>
        <w:ind w:firstLine="640"/>
        <w:rPr>
          <w:rFonts w:ascii="黑体" w:hAnsi="黑体" w:eastAsia="黑体"/>
          <w:sz w:val="32"/>
          <w:szCs w:val="32"/>
        </w:rPr>
      </w:pPr>
      <w:r>
        <w:rPr>
          <w:rFonts w:hint="eastAsia" w:ascii="黑体" w:hAnsi="黑体" w:eastAsia="黑体"/>
          <w:sz w:val="32"/>
          <w:szCs w:val="32"/>
        </w:rPr>
        <w:t>二、部门预算安排的总体情况</w:t>
      </w:r>
    </w:p>
    <w:p>
      <w:pPr>
        <w:ind w:firstLine="640"/>
        <w:rPr>
          <w:rFonts w:ascii="仿宋_GB2312" w:hAnsi="Times New Roman" w:eastAsia="仿宋_GB2312"/>
          <w:sz w:val="32"/>
          <w:szCs w:val="32"/>
        </w:rPr>
      </w:pPr>
      <w:r>
        <w:rPr>
          <w:rFonts w:hint="eastAsia" w:ascii="仿宋_GB2312" w:hAnsi="Times New Roman" w:eastAsia="仿宋_GB2312"/>
          <w:sz w:val="32"/>
          <w:szCs w:val="32"/>
        </w:rPr>
        <w:t>按照预算管理有关规定，目前我县部门预算的编制实行综合预算制度，即全部收入和支出都反映在预算中。永清县</w:t>
      </w:r>
      <w:r>
        <w:rPr>
          <w:rFonts w:hint="eastAsia" w:ascii="仿宋_GB2312" w:hAnsi="Times New Roman" w:eastAsia="仿宋_GB2312"/>
          <w:sz w:val="32"/>
          <w:szCs w:val="32"/>
          <w:lang w:eastAsia="zh-CN"/>
        </w:rPr>
        <w:t>曹家务</w:t>
      </w:r>
      <w:r>
        <w:rPr>
          <w:rFonts w:hint="eastAsia" w:ascii="仿宋_GB2312" w:hAnsi="Times New Roman" w:eastAsia="仿宋_GB2312"/>
          <w:sz w:val="32"/>
          <w:szCs w:val="32"/>
        </w:rPr>
        <w:t>乡人民政府机关的收支包含在部门预算中。</w:t>
      </w:r>
    </w:p>
    <w:p>
      <w:pPr>
        <w:ind w:firstLine="640"/>
        <w:rPr>
          <w:rFonts w:ascii="楷体_GB2312" w:hAnsi="Times New Roman" w:eastAsia="楷体_GB2312"/>
          <w:b/>
          <w:sz w:val="32"/>
          <w:szCs w:val="32"/>
        </w:rPr>
      </w:pPr>
      <w:r>
        <w:rPr>
          <w:rFonts w:ascii="楷体_GB2312" w:hAnsi="Times New Roman" w:eastAsia="楷体_GB2312"/>
          <w:b/>
          <w:sz w:val="32"/>
          <w:szCs w:val="32"/>
        </w:rPr>
        <w:t>1</w:t>
      </w:r>
      <w:r>
        <w:rPr>
          <w:rFonts w:hint="eastAsia" w:ascii="楷体_GB2312" w:hAnsi="Times New Roman" w:eastAsia="楷体_GB2312"/>
          <w:b/>
          <w:sz w:val="32"/>
          <w:szCs w:val="32"/>
        </w:rPr>
        <w:t>、收入说明</w:t>
      </w:r>
    </w:p>
    <w:p>
      <w:pP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反映本部门当年全部收入。</w:t>
      </w:r>
      <w:r>
        <w:rPr>
          <w:rFonts w:hint="eastAsia" w:ascii="Times New Roman" w:hAnsi="Times New Roman" w:eastAsia="仿宋_GB2312" w:cs="Times New Roman"/>
          <w:sz w:val="32"/>
          <w:szCs w:val="32"/>
          <w:lang w:val="en-US" w:eastAsia="zh-CN"/>
        </w:rPr>
        <w:t>2019</w:t>
      </w:r>
      <w:r>
        <w:rPr>
          <w:rFonts w:ascii="Times New Roman" w:hAnsi="Times New Roman" w:eastAsia="仿宋_GB2312" w:cs="Times New Roman"/>
          <w:sz w:val="32"/>
          <w:szCs w:val="32"/>
        </w:rPr>
        <w:t>年预算收入</w:t>
      </w:r>
      <w:r>
        <w:rPr>
          <w:rFonts w:hint="eastAsia" w:ascii="Times New Roman" w:hAnsi="Times New Roman" w:eastAsia="仿宋_GB2312" w:cs="Times New Roman"/>
          <w:sz w:val="32"/>
          <w:szCs w:val="32"/>
          <w:lang w:val="en-US" w:eastAsia="zh-CN"/>
        </w:rPr>
        <w:t>3625.13</w:t>
      </w:r>
      <w:r>
        <w:rPr>
          <w:rFonts w:ascii="Times New Roman" w:hAnsi="Times New Roman" w:eastAsia="仿宋_GB2312" w:cs="Times New Roman"/>
          <w:sz w:val="32"/>
          <w:szCs w:val="32"/>
        </w:rPr>
        <w:t>万元，其中：一般公共预算收入</w:t>
      </w:r>
      <w:r>
        <w:rPr>
          <w:rFonts w:hint="eastAsia" w:ascii="Times New Roman" w:hAnsi="Times New Roman" w:eastAsia="仿宋_GB2312" w:cs="Times New Roman"/>
          <w:sz w:val="32"/>
          <w:szCs w:val="32"/>
          <w:lang w:val="en-US" w:eastAsia="zh-CN"/>
        </w:rPr>
        <w:t>3625.13</w:t>
      </w:r>
      <w:r>
        <w:rPr>
          <w:rFonts w:ascii="Times New Roman" w:hAnsi="Times New Roman" w:eastAsia="仿宋_GB2312" w:cs="Times New Roman"/>
          <w:sz w:val="32"/>
          <w:szCs w:val="32"/>
        </w:rPr>
        <w:t>万元，基金预算收入</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万元，财政专户核拨收入</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万元，其他来源收入</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w:t>
      </w:r>
    </w:p>
    <w:p>
      <w:pPr>
        <w:ind w:firstLine="640"/>
        <w:rPr>
          <w:rFonts w:ascii="楷体_GB2312" w:hAnsi="Times New Roman" w:eastAsia="楷体_GB2312"/>
          <w:b/>
          <w:sz w:val="32"/>
          <w:szCs w:val="32"/>
        </w:rPr>
      </w:pPr>
      <w:r>
        <w:rPr>
          <w:rFonts w:ascii="楷体_GB2312" w:hAnsi="Times New Roman" w:eastAsia="楷体_GB2312"/>
          <w:b/>
          <w:sz w:val="32"/>
          <w:szCs w:val="32"/>
        </w:rPr>
        <w:t>2</w:t>
      </w:r>
      <w:r>
        <w:rPr>
          <w:rFonts w:hint="eastAsia" w:ascii="楷体_GB2312" w:hAnsi="Times New Roman" w:eastAsia="楷体_GB2312"/>
          <w:b/>
          <w:sz w:val="32"/>
          <w:szCs w:val="32"/>
        </w:rPr>
        <w:t>、支出说明</w:t>
      </w:r>
    </w:p>
    <w:p>
      <w:pPr>
        <w:ind w:firstLine="640"/>
        <w:rPr>
          <w:rFonts w:ascii="Times New Roman" w:hAnsi="Times New Roman" w:eastAsia="仿宋_GB2312"/>
          <w:sz w:val="32"/>
          <w:szCs w:val="32"/>
        </w:rPr>
      </w:pPr>
      <w:r>
        <w:rPr>
          <w:rFonts w:ascii="Times New Roman" w:hAnsi="Times New Roman" w:eastAsia="仿宋_GB2312" w:cs="Times New Roman"/>
          <w:sz w:val="32"/>
          <w:szCs w:val="32"/>
        </w:rPr>
        <w:t>收支预算总表支出栏、基本支出表、项目支出表按经济分类和支出功能分类科目编制，反映永清县</w:t>
      </w:r>
      <w:r>
        <w:rPr>
          <w:rFonts w:hint="eastAsia" w:ascii="Times New Roman" w:hAnsi="Times New Roman" w:eastAsia="仿宋_GB2312" w:cs="Times New Roman"/>
          <w:sz w:val="32"/>
          <w:szCs w:val="32"/>
          <w:lang w:val="en-US" w:eastAsia="zh-CN"/>
        </w:rPr>
        <w:t>2019</w:t>
      </w:r>
      <w:r>
        <w:rPr>
          <w:rFonts w:ascii="Times New Roman" w:hAnsi="Times New Roman" w:eastAsia="仿宋_GB2312" w:cs="Times New Roman"/>
          <w:sz w:val="32"/>
          <w:szCs w:val="32"/>
        </w:rPr>
        <w:t>年度部门预算中支出预算的总体情况。20</w:t>
      </w:r>
      <w:r>
        <w:rPr>
          <w:rFonts w:hint="eastAsia" w:ascii="Times New Roman" w:hAnsi="Times New Roman" w:eastAsia="仿宋_GB2312" w:cs="Times New Roman"/>
          <w:sz w:val="32"/>
          <w:szCs w:val="32"/>
          <w:lang w:val="en-US" w:eastAsia="zh-CN"/>
        </w:rPr>
        <w:t>19</w:t>
      </w:r>
      <w:r>
        <w:rPr>
          <w:rFonts w:ascii="Times New Roman" w:hAnsi="Times New Roman" w:eastAsia="仿宋_GB2312" w:cs="Times New Roman"/>
          <w:sz w:val="32"/>
          <w:szCs w:val="32"/>
        </w:rPr>
        <w:t>年支出预算</w:t>
      </w:r>
      <w:r>
        <w:rPr>
          <w:rFonts w:hint="eastAsia" w:ascii="Times New Roman" w:hAnsi="Times New Roman" w:eastAsia="仿宋_GB2312" w:cs="Times New Roman"/>
          <w:sz w:val="32"/>
          <w:szCs w:val="32"/>
          <w:lang w:val="en-US" w:eastAsia="zh-CN"/>
        </w:rPr>
        <w:t>3625.13</w:t>
      </w:r>
      <w:r>
        <w:rPr>
          <w:rFonts w:ascii="Times New Roman" w:hAnsi="Times New Roman" w:eastAsia="仿宋_GB2312" w:cs="Times New Roman"/>
          <w:sz w:val="32"/>
          <w:szCs w:val="32"/>
        </w:rPr>
        <w:t>万元，其中基本支出</w:t>
      </w:r>
      <w:r>
        <w:rPr>
          <w:rFonts w:hint="eastAsia" w:ascii="Times New Roman" w:hAnsi="Times New Roman" w:eastAsia="仿宋_GB2312" w:cs="Times New Roman"/>
          <w:sz w:val="32"/>
          <w:szCs w:val="32"/>
          <w:lang w:val="en-US" w:eastAsia="zh-CN"/>
        </w:rPr>
        <w:t>1164.79</w:t>
      </w:r>
      <w:r>
        <w:rPr>
          <w:rFonts w:ascii="Times New Roman" w:hAnsi="Times New Roman" w:eastAsia="仿宋_GB2312" w:cs="Times New Roman"/>
          <w:sz w:val="32"/>
          <w:szCs w:val="32"/>
        </w:rPr>
        <w:t>万元，包括人员经费</w:t>
      </w:r>
      <w:r>
        <w:rPr>
          <w:rFonts w:hint="eastAsia" w:ascii="Times New Roman" w:hAnsi="Times New Roman" w:eastAsia="仿宋_GB2312" w:cs="Times New Roman"/>
          <w:sz w:val="32"/>
          <w:szCs w:val="32"/>
          <w:lang w:val="en-US" w:eastAsia="zh-CN"/>
        </w:rPr>
        <w:t>1044.79</w:t>
      </w:r>
      <w:r>
        <w:rPr>
          <w:rFonts w:ascii="Times New Roman" w:hAnsi="Times New Roman" w:eastAsia="仿宋_GB2312" w:cs="Times New Roman"/>
          <w:sz w:val="32"/>
          <w:szCs w:val="32"/>
        </w:rPr>
        <w:t>万元和日常公用经费</w:t>
      </w:r>
      <w:r>
        <w:rPr>
          <w:rFonts w:hint="eastAsia" w:ascii="Times New Roman" w:hAnsi="Times New Roman" w:eastAsia="仿宋_GB2312" w:cs="Times New Roman"/>
          <w:sz w:val="32"/>
          <w:szCs w:val="32"/>
          <w:lang w:val="en-US" w:eastAsia="zh-CN"/>
        </w:rPr>
        <w:t>120</w:t>
      </w:r>
      <w:r>
        <w:rPr>
          <w:rFonts w:ascii="Times New Roman" w:hAnsi="Times New Roman" w:eastAsia="仿宋_GB2312" w:cs="Times New Roman"/>
          <w:sz w:val="32"/>
          <w:szCs w:val="32"/>
        </w:rPr>
        <w:t>万元；项目支出</w:t>
      </w:r>
      <w:r>
        <w:rPr>
          <w:rFonts w:hint="eastAsia" w:ascii="Times New Roman" w:hAnsi="Times New Roman" w:eastAsia="仿宋_GB2312" w:cs="Times New Roman"/>
          <w:sz w:val="32"/>
          <w:szCs w:val="32"/>
          <w:lang w:val="en-US" w:eastAsia="zh-CN"/>
        </w:rPr>
        <w:t>2460.35</w:t>
      </w:r>
      <w:r>
        <w:rPr>
          <w:rFonts w:ascii="Times New Roman" w:hAnsi="Times New Roman" w:eastAsia="仿宋_GB2312" w:cs="Times New Roman"/>
          <w:sz w:val="32"/>
          <w:szCs w:val="32"/>
        </w:rPr>
        <w:t>万元</w:t>
      </w:r>
      <w:r>
        <w:rPr>
          <w:rFonts w:hint="eastAsia" w:ascii="Times New Roman" w:hAnsi="Times New Roman" w:eastAsia="仿宋_GB2312" w:cs="Times New Roman"/>
          <w:sz w:val="32"/>
          <w:szCs w:val="32"/>
          <w:lang w:eastAsia="zh-CN"/>
        </w:rPr>
        <w:t>，</w:t>
      </w:r>
      <w:r>
        <w:rPr>
          <w:rFonts w:hint="eastAsia" w:ascii="仿宋_GB2312" w:hAnsi="Times New Roman" w:eastAsia="仿宋_GB2312"/>
          <w:sz w:val="32"/>
          <w:szCs w:val="32"/>
        </w:rPr>
        <w:t>主要为大气污染防治、环境综合整治、村级补助支出等。</w:t>
      </w:r>
    </w:p>
    <w:p>
      <w:pPr>
        <w:ind w:firstLine="640"/>
        <w:rPr>
          <w:rFonts w:ascii="楷体_GB2312" w:hAnsi="Times New Roman" w:eastAsia="楷体_GB2312"/>
          <w:b/>
          <w:sz w:val="32"/>
          <w:szCs w:val="32"/>
        </w:rPr>
      </w:pPr>
      <w:r>
        <w:rPr>
          <w:rFonts w:ascii="楷体_GB2312" w:hAnsi="Times New Roman" w:eastAsia="楷体_GB2312"/>
          <w:b/>
          <w:sz w:val="32"/>
          <w:szCs w:val="32"/>
        </w:rPr>
        <w:t>3</w:t>
      </w:r>
      <w:r>
        <w:rPr>
          <w:rFonts w:hint="eastAsia" w:ascii="楷体_GB2312" w:hAnsi="Times New Roman" w:eastAsia="楷体_GB2312"/>
          <w:b/>
          <w:sz w:val="32"/>
          <w:szCs w:val="32"/>
        </w:rPr>
        <w:t>、比上年增减情况</w:t>
      </w:r>
    </w:p>
    <w:p>
      <w:pPr>
        <w:spacing w:line="584" w:lineRule="exact"/>
        <w:ind w:firstLine="640"/>
        <w:rPr>
          <w:rFonts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eastAsia="zh-CN"/>
        </w:rPr>
        <w:t>2019</w:t>
      </w:r>
      <w:r>
        <w:rPr>
          <w:rFonts w:ascii="Times New Roman" w:hAnsi="Times New Roman" w:eastAsia="仿宋_GB2312" w:cs="Times New Roman"/>
          <w:sz w:val="32"/>
          <w:szCs w:val="32"/>
          <w:highlight w:val="none"/>
        </w:rPr>
        <w:t>年预算收支安排</w:t>
      </w:r>
      <w:r>
        <w:rPr>
          <w:rFonts w:hint="eastAsia" w:ascii="Times New Roman" w:hAnsi="Times New Roman" w:eastAsia="仿宋_GB2312" w:cs="Times New Roman"/>
          <w:sz w:val="32"/>
          <w:szCs w:val="32"/>
          <w:lang w:val="en-US" w:eastAsia="zh-CN"/>
        </w:rPr>
        <w:t>3625.13</w:t>
      </w:r>
      <w:r>
        <w:rPr>
          <w:rFonts w:ascii="Times New Roman" w:hAnsi="Times New Roman" w:eastAsia="仿宋_GB2312" w:cs="Times New Roman"/>
          <w:sz w:val="32"/>
          <w:szCs w:val="32"/>
          <w:highlight w:val="none"/>
        </w:rPr>
        <w:t>万元，较201</w:t>
      </w:r>
      <w:r>
        <w:rPr>
          <w:rFonts w:hint="eastAsia" w:ascii="Times New Roman" w:hAnsi="Times New Roman" w:eastAsia="仿宋_GB2312" w:cs="Times New Roman"/>
          <w:sz w:val="32"/>
          <w:szCs w:val="32"/>
          <w:highlight w:val="none"/>
          <w:lang w:val="en-US" w:eastAsia="zh-CN"/>
        </w:rPr>
        <w:t>8</w:t>
      </w:r>
      <w:r>
        <w:rPr>
          <w:rFonts w:ascii="Times New Roman" w:hAnsi="Times New Roman" w:eastAsia="仿宋_GB2312" w:cs="Times New Roman"/>
          <w:sz w:val="32"/>
          <w:szCs w:val="32"/>
          <w:highlight w:val="none"/>
        </w:rPr>
        <w:t>年预算增加</w:t>
      </w:r>
      <w:r>
        <w:rPr>
          <w:rFonts w:hint="eastAsia" w:ascii="Times New Roman" w:hAnsi="Times New Roman" w:eastAsia="仿宋_GB2312" w:cs="Times New Roman"/>
          <w:sz w:val="32"/>
          <w:szCs w:val="32"/>
          <w:lang w:val="en-US" w:eastAsia="zh-CN"/>
        </w:rPr>
        <w:t>1260.55</w:t>
      </w:r>
      <w:r>
        <w:rPr>
          <w:rFonts w:ascii="Times New Roman" w:hAnsi="Times New Roman" w:eastAsia="仿宋_GB2312" w:cs="Times New Roman"/>
          <w:sz w:val="32"/>
          <w:szCs w:val="32"/>
          <w:highlight w:val="none"/>
        </w:rPr>
        <w:t>万元，其中：基本支出</w:t>
      </w:r>
      <w:r>
        <w:rPr>
          <w:rFonts w:hint="eastAsia" w:ascii="Times New Roman" w:hAnsi="Times New Roman" w:eastAsia="仿宋_GB2312" w:cs="Times New Roman"/>
          <w:sz w:val="32"/>
          <w:szCs w:val="32"/>
          <w:highlight w:val="none"/>
          <w:lang w:val="en-US" w:eastAsia="zh-CN"/>
        </w:rPr>
        <w:t>增加121.81</w:t>
      </w:r>
      <w:r>
        <w:rPr>
          <w:rFonts w:ascii="Times New Roman" w:hAnsi="Times New Roman" w:eastAsia="仿宋_GB2312" w:cs="Times New Roman"/>
          <w:sz w:val="32"/>
          <w:szCs w:val="32"/>
          <w:highlight w:val="none"/>
        </w:rPr>
        <w:t>万元，主要为</w:t>
      </w:r>
      <w:r>
        <w:rPr>
          <w:rFonts w:hint="eastAsia" w:ascii="Times New Roman" w:hAnsi="Times New Roman" w:eastAsia="仿宋_GB2312" w:cs="Times New Roman"/>
          <w:sz w:val="32"/>
          <w:szCs w:val="32"/>
          <w:highlight w:val="none"/>
          <w:lang w:val="en-US" w:eastAsia="zh-CN"/>
        </w:rPr>
        <w:t>人员</w:t>
      </w:r>
      <w:r>
        <w:rPr>
          <w:rFonts w:ascii="Times New Roman" w:hAnsi="Times New Roman" w:eastAsia="仿宋_GB2312" w:cs="Times New Roman"/>
          <w:sz w:val="32"/>
          <w:szCs w:val="32"/>
          <w:highlight w:val="none"/>
        </w:rPr>
        <w:t>支出；项目支出增加</w:t>
      </w:r>
      <w:r>
        <w:rPr>
          <w:rFonts w:hint="eastAsia" w:ascii="Times New Roman" w:hAnsi="Times New Roman" w:eastAsia="仿宋_GB2312" w:cs="Times New Roman"/>
          <w:sz w:val="32"/>
          <w:szCs w:val="32"/>
          <w:highlight w:val="none"/>
          <w:lang w:val="en-US" w:eastAsia="zh-CN"/>
        </w:rPr>
        <w:t>1138.75</w:t>
      </w:r>
      <w:r>
        <w:rPr>
          <w:rFonts w:ascii="Times New Roman" w:hAnsi="Times New Roman" w:eastAsia="仿宋_GB2312" w:cs="Times New Roman"/>
          <w:sz w:val="32"/>
          <w:szCs w:val="32"/>
          <w:highlight w:val="none"/>
        </w:rPr>
        <w:t>万元，主要项目支出</w:t>
      </w:r>
      <w:r>
        <w:rPr>
          <w:rFonts w:hint="eastAsia" w:ascii="Times New Roman" w:hAnsi="Times New Roman" w:eastAsia="仿宋_GB2312" w:cs="Times New Roman"/>
          <w:sz w:val="32"/>
          <w:szCs w:val="32"/>
          <w:highlight w:val="none"/>
          <w:lang w:val="en-US" w:eastAsia="zh-CN"/>
        </w:rPr>
        <w:t>增加</w:t>
      </w:r>
      <w:r>
        <w:rPr>
          <w:rFonts w:ascii="Times New Roman" w:hAnsi="Times New Roman" w:eastAsia="仿宋_GB2312" w:cs="Times New Roman"/>
          <w:sz w:val="32"/>
          <w:szCs w:val="32"/>
          <w:highlight w:val="none"/>
        </w:rPr>
        <w:t>。</w:t>
      </w:r>
    </w:p>
    <w:p>
      <w:pPr>
        <w:autoSpaceDE w:val="0"/>
        <w:autoSpaceDN w:val="0"/>
        <w:adjustRightInd w:val="0"/>
        <w:ind w:left="198" w:firstLine="640" w:firstLineChars="200"/>
        <w:jc w:val="left"/>
        <w:rPr>
          <w:rFonts w:ascii="黑体" w:hAnsi="黑体" w:eastAsia="黑体"/>
          <w:sz w:val="32"/>
          <w:szCs w:val="32"/>
        </w:rPr>
      </w:pPr>
      <w:r>
        <w:rPr>
          <w:rFonts w:hint="eastAsia" w:ascii="黑体" w:hAnsi="黑体" w:eastAsia="黑体"/>
          <w:sz w:val="32"/>
          <w:szCs w:val="32"/>
        </w:rPr>
        <w:t>三、机关运行经费安排情况</w:t>
      </w:r>
    </w:p>
    <w:p>
      <w:pPr>
        <w:autoSpaceDE w:val="0"/>
        <w:autoSpaceDN w:val="0"/>
        <w:adjustRightInd w:val="0"/>
        <w:ind w:left="198" w:firstLine="640" w:firstLineChars="200"/>
        <w:jc w:val="left"/>
        <w:rPr>
          <w:rFonts w:ascii="仿宋_GB2312" w:hAnsi="Times New Roman" w:eastAsia="仿宋_GB2312"/>
          <w:sz w:val="32"/>
          <w:szCs w:val="32"/>
        </w:rPr>
      </w:pPr>
      <w:r>
        <w:rPr>
          <w:rFonts w:ascii="Times New Roman" w:hAnsi="Times New Roman" w:eastAsia="仿宋_GB2312"/>
          <w:sz w:val="32"/>
          <w:szCs w:val="32"/>
        </w:rPr>
        <w:t>2019</w:t>
      </w:r>
      <w:r>
        <w:rPr>
          <w:rFonts w:hint="eastAsia" w:ascii="仿宋_GB2312" w:hAnsi="Times New Roman" w:eastAsia="仿宋_GB2312"/>
          <w:sz w:val="32"/>
          <w:szCs w:val="32"/>
        </w:rPr>
        <w:t>年，我单位机关运行经费共计安排</w:t>
      </w:r>
      <w:r>
        <w:rPr>
          <w:rFonts w:hint="eastAsia" w:ascii="仿宋_GB2312" w:hAnsi="Times New Roman" w:eastAsia="仿宋_GB2312"/>
          <w:sz w:val="32"/>
          <w:szCs w:val="32"/>
          <w:lang w:val="en-US" w:eastAsia="zh-CN"/>
        </w:rPr>
        <w:t>112</w:t>
      </w:r>
      <w:r>
        <w:rPr>
          <w:rFonts w:hint="eastAsia" w:ascii="仿宋_GB2312" w:hAnsi="Times New Roman" w:eastAsia="仿宋_GB2312"/>
          <w:sz w:val="32"/>
          <w:szCs w:val="32"/>
        </w:rPr>
        <w:t>万元，主要用于</w:t>
      </w:r>
      <w:r>
        <w:rPr>
          <w:rFonts w:hint="eastAsia" w:ascii="仿宋_GB2312" w:hAnsi="Times New Roman" w:eastAsia="仿宋_GB2312"/>
          <w:sz w:val="32"/>
          <w:szCs w:val="32"/>
          <w:lang w:eastAsia="zh-CN"/>
        </w:rPr>
        <w:t>曹家务</w:t>
      </w:r>
      <w:r>
        <w:rPr>
          <w:rFonts w:hint="eastAsia" w:ascii="仿宋_GB2312" w:hAnsi="Times New Roman" w:eastAsia="仿宋_GB2312"/>
          <w:sz w:val="32"/>
          <w:szCs w:val="32"/>
        </w:rPr>
        <w:t>乡政府办公区的日常维修、办公用房水电费、办公用房取暖费、办公用房物业管理费等日常运行支出。</w:t>
      </w:r>
    </w:p>
    <w:p>
      <w:pPr>
        <w:autoSpaceDE w:val="0"/>
        <w:autoSpaceDN w:val="0"/>
        <w:adjustRightInd w:val="0"/>
        <w:ind w:left="198" w:firstLine="640" w:firstLineChars="200"/>
        <w:jc w:val="left"/>
        <w:rPr>
          <w:rFonts w:ascii="黑体" w:hAnsi="黑体" w:eastAsia="黑体"/>
          <w:sz w:val="32"/>
          <w:szCs w:val="32"/>
        </w:rPr>
      </w:pPr>
      <w:r>
        <w:rPr>
          <w:rFonts w:hint="eastAsia" w:ascii="黑体" w:hAnsi="黑体" w:eastAsia="黑体"/>
          <w:sz w:val="32"/>
          <w:szCs w:val="32"/>
        </w:rPr>
        <w:t>四、财政拨款“三公”经费预算情况及增减变化原因</w:t>
      </w:r>
    </w:p>
    <w:p>
      <w:pPr>
        <w:spacing w:line="584" w:lineRule="exact"/>
        <w:ind w:firstLine="640" w:firstLineChars="200"/>
        <w:rPr>
          <w:rFonts w:hint="eastAsia" w:ascii="Times New Roman" w:hAnsi="Times New Roman" w:eastAsia="仿宋_GB2312" w:cs="Times New Roman"/>
          <w:color w:val="000000" w:themeColor="text1"/>
          <w:sz w:val="32"/>
          <w:szCs w:val="32"/>
          <w:highlight w:val="none"/>
          <w:lang w:eastAsia="zh-CN"/>
        </w:rPr>
      </w:pPr>
      <w:r>
        <w:rPr>
          <w:rFonts w:hint="eastAsia" w:ascii="Times New Roman" w:hAnsi="Times New Roman" w:eastAsia="仿宋_GB2312" w:cs="Times New Roman"/>
          <w:sz w:val="32"/>
          <w:szCs w:val="32"/>
          <w:lang w:eastAsia="zh-CN"/>
        </w:rPr>
        <w:t>2019</w:t>
      </w:r>
      <w:r>
        <w:rPr>
          <w:rFonts w:ascii="Times New Roman" w:hAnsi="Times New Roman" w:eastAsia="仿宋_GB2312" w:cs="Times New Roman"/>
          <w:sz w:val="32"/>
          <w:szCs w:val="32"/>
        </w:rPr>
        <w:t>年，我</w:t>
      </w:r>
      <w:r>
        <w:rPr>
          <w:rFonts w:hint="eastAsia" w:ascii="Times New Roman" w:hAnsi="Times New Roman" w:eastAsia="仿宋_GB2312" w:cs="Times New Roman"/>
          <w:sz w:val="32"/>
          <w:szCs w:val="32"/>
        </w:rPr>
        <w:t>部门</w:t>
      </w:r>
      <w:r>
        <w:rPr>
          <w:rFonts w:ascii="Times New Roman" w:hAnsi="Times New Roman" w:eastAsia="仿宋_GB2312" w:cs="Times New Roman"/>
          <w:sz w:val="32"/>
          <w:szCs w:val="32"/>
        </w:rPr>
        <w:t>财政拨款“三公”经费预算安排</w:t>
      </w:r>
      <w:r>
        <w:rPr>
          <w:rFonts w:hint="eastAsia" w:ascii="Times New Roman" w:hAnsi="Times New Roman" w:eastAsia="仿宋_GB2312" w:cs="Times New Roman"/>
          <w:sz w:val="32"/>
          <w:szCs w:val="32"/>
          <w:lang w:val="en-US" w:eastAsia="zh-CN"/>
        </w:rPr>
        <w:t>15.61</w:t>
      </w:r>
      <w:r>
        <w:rPr>
          <w:rFonts w:ascii="Times New Roman" w:hAnsi="Times New Roman" w:eastAsia="仿宋_GB2312" w:cs="Times New Roman"/>
          <w:sz w:val="32"/>
          <w:szCs w:val="32"/>
        </w:rPr>
        <w:t>万元</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其中</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因公出国（境）费</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万元；公务用车购置及运维费</w:t>
      </w:r>
      <w:r>
        <w:rPr>
          <w:rFonts w:hint="eastAsia" w:ascii="Times New Roman" w:hAnsi="Times New Roman" w:eastAsia="仿宋_GB2312" w:cs="Times New Roman"/>
          <w:sz w:val="32"/>
          <w:szCs w:val="32"/>
          <w:lang w:val="en-US" w:eastAsia="zh-CN"/>
        </w:rPr>
        <w:t>15</w:t>
      </w:r>
      <w:r>
        <w:rPr>
          <w:rFonts w:ascii="Times New Roman" w:hAnsi="Times New Roman" w:eastAsia="仿宋_GB2312" w:cs="Times New Roman"/>
          <w:sz w:val="32"/>
          <w:szCs w:val="32"/>
        </w:rPr>
        <w:t>万元（其中：公务用车购置费为</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万元，公务用车运维费</w:t>
      </w:r>
      <w:r>
        <w:rPr>
          <w:rFonts w:hint="eastAsia" w:ascii="Times New Roman" w:hAnsi="Times New Roman" w:eastAsia="仿宋_GB2312" w:cs="Times New Roman"/>
          <w:sz w:val="32"/>
          <w:szCs w:val="32"/>
          <w:lang w:val="en-US" w:eastAsia="zh-CN"/>
        </w:rPr>
        <w:t>15</w:t>
      </w:r>
      <w:r>
        <w:rPr>
          <w:rFonts w:ascii="Times New Roman" w:hAnsi="Times New Roman" w:eastAsia="仿宋_GB2312" w:cs="Times New Roman"/>
          <w:sz w:val="32"/>
          <w:szCs w:val="32"/>
        </w:rPr>
        <w:t>万元)；公务接待费</w:t>
      </w:r>
      <w:r>
        <w:rPr>
          <w:rFonts w:hint="eastAsia" w:ascii="Times New Roman" w:hAnsi="Times New Roman" w:eastAsia="仿宋_GB2312" w:cs="Times New Roman"/>
          <w:sz w:val="32"/>
          <w:szCs w:val="32"/>
          <w:lang w:val="en-US" w:eastAsia="zh-CN"/>
        </w:rPr>
        <w:t>0.61</w:t>
      </w:r>
      <w:r>
        <w:rPr>
          <w:rFonts w:ascii="Times New Roman" w:hAnsi="Times New Roman" w:eastAsia="仿宋_GB2312" w:cs="Times New Roman"/>
          <w:sz w:val="32"/>
          <w:szCs w:val="32"/>
        </w:rPr>
        <w:t>万元。与201</w:t>
      </w:r>
      <w:r>
        <w:rPr>
          <w:rFonts w:hint="eastAsia" w:ascii="Times New Roman" w:hAnsi="Times New Roman" w:eastAsia="仿宋_GB2312" w:cs="Times New Roman"/>
          <w:sz w:val="32"/>
          <w:szCs w:val="32"/>
          <w:lang w:val="en-US" w:eastAsia="zh-CN"/>
        </w:rPr>
        <w:t>8</w:t>
      </w:r>
      <w:r>
        <w:rPr>
          <w:rFonts w:ascii="Times New Roman" w:hAnsi="Times New Roman" w:eastAsia="仿宋_GB2312" w:cs="Times New Roman"/>
          <w:sz w:val="32"/>
          <w:szCs w:val="32"/>
        </w:rPr>
        <w:t>年</w:t>
      </w:r>
      <w:r>
        <w:rPr>
          <w:rFonts w:hint="eastAsia" w:ascii="Times New Roman" w:hAnsi="Times New Roman" w:eastAsia="仿宋_GB2312" w:cs="Times New Roman"/>
          <w:sz w:val="32"/>
          <w:szCs w:val="32"/>
          <w:lang w:val="en-US" w:eastAsia="zh-CN"/>
        </w:rPr>
        <w:t>持平</w:t>
      </w:r>
      <w:r>
        <w:rPr>
          <w:rFonts w:ascii="Times New Roman" w:hAnsi="Times New Roman" w:eastAsia="仿宋_GB2312" w:cs="Times New Roman"/>
          <w:color w:val="000000" w:themeColor="text1"/>
          <w:sz w:val="32"/>
          <w:szCs w:val="32"/>
          <w:highlight w:val="none"/>
        </w:rPr>
        <w:t>，</w:t>
      </w:r>
      <w:r>
        <w:rPr>
          <w:rFonts w:hint="eastAsia" w:ascii="Times New Roman" w:hAnsi="Times New Roman" w:eastAsia="仿宋_GB2312" w:cs="Times New Roman"/>
          <w:color w:val="000000" w:themeColor="text1"/>
          <w:sz w:val="32"/>
          <w:szCs w:val="32"/>
          <w:highlight w:val="none"/>
        </w:rPr>
        <w:t>其中：</w:t>
      </w:r>
      <w:r>
        <w:rPr>
          <w:rFonts w:ascii="Times New Roman" w:hAnsi="Times New Roman" w:eastAsia="仿宋_GB2312" w:cs="Times New Roman"/>
          <w:color w:val="000000" w:themeColor="text1"/>
          <w:sz w:val="32"/>
          <w:szCs w:val="32"/>
          <w:highlight w:val="none"/>
        </w:rPr>
        <w:t>公务用车购置及运维费</w:t>
      </w:r>
      <w:r>
        <w:rPr>
          <w:rFonts w:hint="eastAsia" w:ascii="Times New Roman" w:hAnsi="Times New Roman" w:eastAsia="仿宋_GB2312" w:cs="Times New Roman"/>
          <w:color w:val="000000" w:themeColor="text1"/>
          <w:sz w:val="32"/>
          <w:szCs w:val="32"/>
          <w:highlight w:val="none"/>
          <w:lang w:val="en-US" w:eastAsia="zh-CN"/>
        </w:rPr>
        <w:t>15</w:t>
      </w:r>
      <w:r>
        <w:rPr>
          <w:rFonts w:ascii="Times New Roman" w:hAnsi="Times New Roman" w:eastAsia="仿宋_GB2312" w:cs="Times New Roman"/>
          <w:color w:val="000000" w:themeColor="text1"/>
          <w:sz w:val="32"/>
          <w:szCs w:val="32"/>
          <w:highlight w:val="none"/>
        </w:rPr>
        <w:t>万元（其中：公务用车购置费</w:t>
      </w:r>
      <w:r>
        <w:rPr>
          <w:rFonts w:hint="eastAsia" w:ascii="Times New Roman" w:hAnsi="Times New Roman" w:eastAsia="仿宋_GB2312" w:cs="Times New Roman"/>
          <w:color w:val="000000" w:themeColor="text1"/>
          <w:sz w:val="32"/>
          <w:szCs w:val="32"/>
          <w:highlight w:val="none"/>
        </w:rPr>
        <w:t>减少</w:t>
      </w:r>
      <w:r>
        <w:rPr>
          <w:rFonts w:hint="eastAsia" w:ascii="Times New Roman" w:hAnsi="Times New Roman" w:eastAsia="仿宋_GB2312" w:cs="Times New Roman"/>
          <w:color w:val="000000" w:themeColor="text1"/>
          <w:sz w:val="32"/>
          <w:szCs w:val="32"/>
          <w:highlight w:val="none"/>
          <w:lang w:val="en-US" w:eastAsia="zh-CN"/>
        </w:rPr>
        <w:t>0</w:t>
      </w:r>
      <w:r>
        <w:rPr>
          <w:rFonts w:ascii="Times New Roman" w:hAnsi="Times New Roman" w:eastAsia="仿宋_GB2312" w:cs="Times New Roman"/>
          <w:color w:val="000000" w:themeColor="text1"/>
          <w:sz w:val="32"/>
          <w:szCs w:val="32"/>
          <w:highlight w:val="none"/>
        </w:rPr>
        <w:t>万元，公务用车运维费</w:t>
      </w:r>
      <w:r>
        <w:rPr>
          <w:rFonts w:hint="eastAsia" w:ascii="Times New Roman" w:hAnsi="Times New Roman" w:eastAsia="仿宋_GB2312" w:cs="Times New Roman"/>
          <w:color w:val="000000" w:themeColor="text1"/>
          <w:sz w:val="32"/>
          <w:szCs w:val="32"/>
          <w:highlight w:val="none"/>
          <w:lang w:val="en-US" w:eastAsia="zh-CN"/>
        </w:rPr>
        <w:t>15</w:t>
      </w:r>
      <w:r>
        <w:rPr>
          <w:rFonts w:ascii="Times New Roman" w:hAnsi="Times New Roman" w:eastAsia="仿宋_GB2312" w:cs="Times New Roman"/>
          <w:color w:val="000000" w:themeColor="text1"/>
          <w:sz w:val="32"/>
          <w:szCs w:val="32"/>
          <w:highlight w:val="none"/>
        </w:rPr>
        <w:t>万元)</w:t>
      </w:r>
      <w:r>
        <w:rPr>
          <w:rFonts w:hint="eastAsia" w:ascii="Times New Roman" w:hAnsi="Times New Roman" w:eastAsia="仿宋_GB2312" w:cs="Times New Roman"/>
          <w:color w:val="000000" w:themeColor="text1"/>
          <w:sz w:val="32"/>
          <w:szCs w:val="32"/>
          <w:highlight w:val="none"/>
        </w:rPr>
        <w:t>，</w:t>
      </w:r>
      <w:r>
        <w:rPr>
          <w:rFonts w:ascii="Times New Roman" w:hAnsi="Times New Roman" w:eastAsia="仿宋_GB2312" w:cs="Times New Roman"/>
          <w:color w:val="000000" w:themeColor="text1"/>
          <w:sz w:val="32"/>
          <w:szCs w:val="32"/>
          <w:highlight w:val="none"/>
        </w:rPr>
        <w:t>公务接待费</w:t>
      </w:r>
      <w:r>
        <w:rPr>
          <w:rFonts w:hint="eastAsia" w:ascii="Times New Roman" w:hAnsi="Times New Roman" w:eastAsia="仿宋_GB2312" w:cs="Times New Roman"/>
          <w:color w:val="000000" w:themeColor="text1"/>
          <w:sz w:val="32"/>
          <w:szCs w:val="32"/>
          <w:highlight w:val="none"/>
          <w:lang w:val="en-US" w:eastAsia="zh-CN"/>
        </w:rPr>
        <w:t>0.61</w:t>
      </w:r>
      <w:r>
        <w:rPr>
          <w:rFonts w:hint="eastAsia" w:ascii="Times New Roman" w:hAnsi="Times New Roman" w:eastAsia="仿宋_GB2312" w:cs="Times New Roman"/>
          <w:color w:val="000000" w:themeColor="text1"/>
          <w:sz w:val="32"/>
          <w:szCs w:val="32"/>
          <w:highlight w:val="none"/>
        </w:rPr>
        <w:t>万元</w:t>
      </w:r>
      <w:r>
        <w:rPr>
          <w:rFonts w:hint="eastAsia" w:ascii="Times New Roman" w:hAnsi="Times New Roman" w:eastAsia="仿宋_GB2312" w:cs="Times New Roman"/>
          <w:color w:val="000000" w:themeColor="text1"/>
          <w:sz w:val="32"/>
          <w:szCs w:val="32"/>
          <w:highlight w:val="none"/>
          <w:lang w:eastAsia="zh-CN"/>
        </w:rPr>
        <w:t>。</w:t>
      </w:r>
      <w:r>
        <w:rPr>
          <w:rFonts w:hint="eastAsia" w:ascii="仿宋_GB2312" w:eastAsia="仿宋_GB2312" w:cs="DengXian-Regular"/>
          <w:sz w:val="32"/>
          <w:szCs w:val="32"/>
        </w:rPr>
        <w:t>主要是认真贯彻落实中央“八项规定”精神和厉行节约要求，从严控制“三公”经费开支</w:t>
      </w:r>
      <w:r>
        <w:rPr>
          <w:rFonts w:hint="eastAsia" w:ascii="仿宋_GB2312" w:eastAsia="仿宋_GB2312" w:cs="DengXian-Regular"/>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五、绩效预算信息</w:t>
      </w:r>
    </w:p>
    <w:p>
      <w:pPr>
        <w:ind w:firstLine="642" w:firstLineChars="200"/>
        <w:jc w:val="left"/>
        <w:rPr>
          <w:rFonts w:ascii="楷体_GB2312" w:hAnsi="Times New Roman" w:eastAsia="楷体_GB2312"/>
          <w:b/>
          <w:sz w:val="32"/>
          <w:szCs w:val="32"/>
        </w:rPr>
      </w:pPr>
      <w:bookmarkStart w:id="0" w:name="_Toc471398463"/>
      <w:r>
        <w:rPr>
          <w:rFonts w:hint="eastAsia" w:ascii="楷体_GB2312" w:hAnsi="Times New Roman" w:eastAsia="楷体_GB2312"/>
          <w:b/>
          <w:sz w:val="32"/>
          <w:szCs w:val="32"/>
        </w:rPr>
        <w:t>总体绩效目标：</w:t>
      </w:r>
    </w:p>
    <w:p>
      <w:pPr>
        <w:ind w:firstLine="640" w:firstLineChars="200"/>
        <w:jc w:val="left"/>
        <w:rPr>
          <w:rFonts w:ascii="仿宋_GB2312" w:hAnsi="仿宋" w:eastAsia="仿宋_GB2312" w:cs="仿宋"/>
          <w:sz w:val="32"/>
          <w:szCs w:val="32"/>
        </w:rPr>
      </w:pPr>
      <w:r>
        <w:rPr>
          <w:rFonts w:ascii="Times New Roman" w:hAnsi="Times New Roman" w:eastAsia="仿宋_GB2312"/>
          <w:sz w:val="32"/>
          <w:szCs w:val="32"/>
        </w:rPr>
        <w:t>2019</w:t>
      </w:r>
      <w:r>
        <w:rPr>
          <w:rFonts w:hint="eastAsia" w:ascii="仿宋_GB2312" w:hAnsi="仿宋" w:eastAsia="仿宋_GB2312" w:cs="仿宋"/>
          <w:sz w:val="32"/>
          <w:szCs w:val="32"/>
        </w:rPr>
        <w:t>年，我乡将继续按照县委、县政府的统一部署，进一步巩固“两学一做”学习教育成果，凝心聚力，攻坚克难，努力实现</w:t>
      </w:r>
      <w:r>
        <w:rPr>
          <w:rFonts w:hint="eastAsia" w:ascii="仿宋_GB2312" w:hAnsi="仿宋" w:eastAsia="仿宋_GB2312" w:cs="仿宋"/>
          <w:sz w:val="32"/>
          <w:szCs w:val="32"/>
          <w:lang w:eastAsia="zh-CN"/>
        </w:rPr>
        <w:t>曹家务</w:t>
      </w:r>
      <w:r>
        <w:rPr>
          <w:rFonts w:hint="eastAsia" w:ascii="仿宋_GB2312" w:hAnsi="仿宋" w:eastAsia="仿宋_GB2312" w:cs="仿宋"/>
          <w:sz w:val="32"/>
          <w:szCs w:val="32"/>
        </w:rPr>
        <w:t>乡经济社会新的更大发展。坚持以</w:t>
      </w:r>
      <w:r>
        <w:rPr>
          <w:rFonts w:hint="eastAsia" w:ascii="仿宋_GB2312" w:hAnsi="仿宋" w:eastAsia="仿宋_GB2312" w:cs="仿宋"/>
          <w:sz w:val="32"/>
          <w:szCs w:val="32"/>
          <w:lang w:eastAsia="zh-CN"/>
        </w:rPr>
        <w:t>习近平总书记</w:t>
      </w:r>
      <w:r>
        <w:rPr>
          <w:rFonts w:hint="eastAsia" w:ascii="仿宋_GB2312" w:hAnsi="仿宋" w:eastAsia="仿宋_GB2312" w:cs="仿宋"/>
          <w:sz w:val="32"/>
          <w:szCs w:val="32"/>
        </w:rPr>
        <w:t>系列重要讲话、党的十九大会议及省委、廊坊市委全会精神为指导，全面贯彻落实永清县委、县政府工作部署，高举发展、团结、奋斗的旗帜，坚持“四个全面”战略布局和“五大发展”理念，坚持“协同发展、转型升级、又好又快”工作主基调，坚守发展、生态、民生三条底线，牢牢把握新机遇，咬定发展不放松，重点实施“协同发展、转型升级、项目建设、生态支撑”主战略，大力推动产业升级和经济转型步伐，提升城市建设和社会管理水平，加大环境治理和生态保护力度，促进文化繁荣和旅游产业发展，加强基层组织和党风廉政建设，增进民生福祉和构建和谐社会，努力开创</w:t>
      </w:r>
      <w:r>
        <w:rPr>
          <w:rFonts w:hint="eastAsia" w:ascii="仿宋_GB2312" w:hAnsi="仿宋" w:eastAsia="仿宋_GB2312" w:cs="仿宋"/>
          <w:sz w:val="32"/>
          <w:szCs w:val="32"/>
          <w:lang w:eastAsia="zh-CN"/>
        </w:rPr>
        <w:t>曹家务</w:t>
      </w:r>
      <w:r>
        <w:rPr>
          <w:rFonts w:hint="eastAsia" w:ascii="仿宋_GB2312" w:hAnsi="仿宋" w:eastAsia="仿宋_GB2312" w:cs="仿宋"/>
          <w:sz w:val="32"/>
          <w:szCs w:val="32"/>
        </w:rPr>
        <w:t>乡建设新局面。</w:t>
      </w:r>
    </w:p>
    <w:p>
      <w:pPr>
        <w:ind w:firstLine="642" w:firstLineChars="200"/>
        <w:jc w:val="left"/>
        <w:outlineLvl w:val="0"/>
        <w:rPr>
          <w:rFonts w:ascii="楷体_GB2312" w:hAnsi="Times New Roman" w:eastAsia="楷体_GB2312"/>
          <w:b/>
          <w:sz w:val="32"/>
          <w:szCs w:val="24"/>
        </w:rPr>
      </w:pPr>
      <w:r>
        <w:rPr>
          <w:rFonts w:hint="eastAsia" w:ascii="楷体_GB2312" w:hAnsi="黑体" w:eastAsia="楷体_GB2312"/>
          <w:b/>
          <w:sz w:val="32"/>
          <w:szCs w:val="32"/>
        </w:rPr>
        <w:t>部门职责及工作活动绩效目标指标：</w:t>
      </w:r>
    </w:p>
    <w:p>
      <w:pPr>
        <w:jc w:val="center"/>
        <w:outlineLvl w:val="0"/>
        <w:rPr>
          <w:rFonts w:ascii="方正小标宋_GBK" w:hAnsi="Times New Roman" w:eastAsia="方正小标宋_GBK"/>
          <w:szCs w:val="21"/>
        </w:rPr>
      </w:pPr>
    </w:p>
    <w:p>
      <w:pPr>
        <w:jc w:val="center"/>
        <w:outlineLvl w:val="0"/>
        <w:rPr>
          <w:rFonts w:ascii="方正小标宋_GBK" w:hAnsi="Times New Roman" w:eastAsia="方正小标宋_GBK"/>
          <w:sz w:val="32"/>
          <w:szCs w:val="24"/>
        </w:rPr>
      </w:pPr>
      <w:r>
        <w:rPr>
          <w:rFonts w:hint="eastAsia" w:ascii="方正小标宋_GBK" w:hAnsi="Times New Roman" w:eastAsia="方正小标宋_GBK"/>
          <w:sz w:val="32"/>
          <w:szCs w:val="24"/>
        </w:rPr>
        <w:t>部门职责</w:t>
      </w:r>
      <w:r>
        <w:rPr>
          <w:rFonts w:ascii="方正小标宋_GBK" w:hAnsi="Times New Roman" w:eastAsia="方正小标宋_GBK"/>
          <w:sz w:val="32"/>
          <w:szCs w:val="24"/>
        </w:rPr>
        <w:t>-</w:t>
      </w:r>
      <w:r>
        <w:rPr>
          <w:rFonts w:hint="eastAsia" w:ascii="方正小标宋_GBK" w:hAnsi="Times New Roman" w:eastAsia="方正小标宋_GBK"/>
          <w:sz w:val="32"/>
          <w:szCs w:val="24"/>
        </w:rPr>
        <w:t>工作活动绩效目标</w:t>
      </w:r>
      <w:bookmarkEnd w:id="0"/>
    </w:p>
    <w:tbl>
      <w:tblPr>
        <w:tblStyle w:val="7"/>
        <w:tblW w:w="1393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341"/>
        <w:gridCol w:w="1276"/>
        <w:gridCol w:w="2976"/>
        <w:gridCol w:w="2976"/>
        <w:gridCol w:w="1417"/>
        <w:gridCol w:w="737"/>
        <w:gridCol w:w="737"/>
        <w:gridCol w:w="737"/>
        <w:gridCol w:w="737"/>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tblHeader/>
          <w:jc w:val="center"/>
        </w:trPr>
        <w:tc>
          <w:tcPr>
            <w:tcW w:w="10986" w:type="dxa"/>
            <w:gridSpan w:val="5"/>
            <w:tcBorders>
              <w:top w:val="single" w:color="FFFFFF" w:sz="6" w:space="0"/>
              <w:left w:val="single" w:color="FFFFFF" w:sz="6" w:space="0"/>
              <w:right w:val="single" w:color="FFFFFF" w:sz="6" w:space="0"/>
            </w:tcBorders>
            <w:vAlign w:val="center"/>
          </w:tcPr>
          <w:p>
            <w:pPr>
              <w:spacing w:line="300" w:lineRule="exact"/>
              <w:jc w:val="left"/>
              <w:rPr>
                <w:rFonts w:ascii="方正小标宋_GBK" w:hAnsi="Times New Roman" w:eastAsia="方正小标宋_GBK"/>
                <w:sz w:val="18"/>
                <w:szCs w:val="18"/>
              </w:rPr>
            </w:pPr>
            <w:r>
              <w:rPr>
                <w:rFonts w:ascii="方正小标宋_GBK" w:hAnsi="Times New Roman" w:eastAsia="方正小标宋_GBK"/>
                <w:sz w:val="18"/>
                <w:szCs w:val="18"/>
              </w:rPr>
              <w:t>808</w:t>
            </w:r>
            <w:r>
              <w:rPr>
                <w:rFonts w:hint="eastAsia" w:ascii="方正小标宋_GBK" w:hAnsi="Times New Roman" w:eastAsia="方正小标宋_GBK"/>
                <w:sz w:val="18"/>
                <w:szCs w:val="18"/>
              </w:rPr>
              <w:t>永清县</w:t>
            </w:r>
            <w:r>
              <w:rPr>
                <w:rFonts w:hint="eastAsia" w:ascii="方正小标宋_GBK" w:hAnsi="Times New Roman" w:eastAsia="方正小标宋_GBK"/>
                <w:sz w:val="18"/>
                <w:szCs w:val="18"/>
                <w:lang w:eastAsia="zh-CN"/>
              </w:rPr>
              <w:t>曹家务</w:t>
            </w:r>
            <w:r>
              <w:rPr>
                <w:rFonts w:hint="eastAsia" w:ascii="方正小标宋_GBK" w:hAnsi="Times New Roman" w:eastAsia="方正小标宋_GBK"/>
                <w:sz w:val="18"/>
                <w:szCs w:val="18"/>
              </w:rPr>
              <w:t>乡人民政府</w:t>
            </w:r>
          </w:p>
        </w:tc>
        <w:tc>
          <w:tcPr>
            <w:tcW w:w="2948" w:type="dxa"/>
            <w:gridSpan w:val="4"/>
            <w:tcBorders>
              <w:top w:val="single" w:color="FFFFFF" w:sz="6" w:space="0"/>
              <w:left w:val="single" w:color="FFFFFF" w:sz="6" w:space="0"/>
              <w:right w:val="single" w:color="FFFFFF" w:sz="6" w:space="0"/>
            </w:tcBorders>
            <w:vAlign w:val="center"/>
          </w:tcPr>
          <w:p>
            <w:pPr>
              <w:spacing w:line="300" w:lineRule="exact"/>
              <w:jc w:val="right"/>
              <w:rPr>
                <w:rFonts w:ascii="方正书宋_GBK" w:hAnsi="Times New Roman" w:eastAsia="方正书宋_GBK"/>
                <w:sz w:val="18"/>
                <w:szCs w:val="18"/>
              </w:rPr>
            </w:pPr>
            <w:r>
              <w:rPr>
                <w:rFonts w:hint="eastAsia" w:ascii="方正书宋_GBK" w:hAnsi="Times New Roman" w:eastAsia="方正书宋_GBK"/>
                <w:sz w:val="18"/>
                <w:szCs w:val="18"/>
              </w:rP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tblHeader/>
          <w:jc w:val="center"/>
        </w:trPr>
        <w:tc>
          <w:tcPr>
            <w:tcW w:w="2341" w:type="dxa"/>
            <w:vMerge w:val="restart"/>
            <w:vAlign w:val="center"/>
          </w:tcPr>
          <w:p>
            <w:pPr>
              <w:spacing w:line="300" w:lineRule="exact"/>
              <w:jc w:val="center"/>
              <w:rPr>
                <w:rFonts w:ascii="方正书宋_GBK" w:hAnsi="Times New Roman" w:eastAsia="方正书宋_GBK"/>
                <w:b/>
                <w:sz w:val="18"/>
                <w:szCs w:val="18"/>
              </w:rPr>
            </w:pPr>
            <w:r>
              <w:rPr>
                <w:rFonts w:hint="eastAsia" w:ascii="方正书宋_GBK" w:hAnsi="Times New Roman" w:eastAsia="方正书宋_GBK"/>
                <w:b/>
                <w:sz w:val="18"/>
                <w:szCs w:val="18"/>
              </w:rPr>
              <w:t>职责活动</w:t>
            </w:r>
          </w:p>
        </w:tc>
        <w:tc>
          <w:tcPr>
            <w:tcW w:w="1276" w:type="dxa"/>
            <w:vMerge w:val="restart"/>
            <w:vAlign w:val="center"/>
          </w:tcPr>
          <w:p>
            <w:pPr>
              <w:spacing w:line="300" w:lineRule="exact"/>
              <w:jc w:val="center"/>
              <w:rPr>
                <w:rFonts w:ascii="方正书宋_GBK" w:hAnsi="Times New Roman" w:eastAsia="方正书宋_GBK"/>
                <w:b/>
                <w:sz w:val="18"/>
                <w:szCs w:val="18"/>
              </w:rPr>
            </w:pPr>
            <w:r>
              <w:rPr>
                <w:rFonts w:hint="eastAsia" w:ascii="方正书宋_GBK" w:hAnsi="Times New Roman" w:eastAsia="方正书宋_GBK"/>
                <w:b/>
                <w:sz w:val="18"/>
                <w:szCs w:val="18"/>
              </w:rPr>
              <w:t>年度预算数</w:t>
            </w:r>
          </w:p>
        </w:tc>
        <w:tc>
          <w:tcPr>
            <w:tcW w:w="2976" w:type="dxa"/>
            <w:vMerge w:val="restart"/>
            <w:vAlign w:val="center"/>
          </w:tcPr>
          <w:p>
            <w:pPr>
              <w:spacing w:line="300" w:lineRule="exact"/>
              <w:jc w:val="center"/>
              <w:rPr>
                <w:rFonts w:ascii="方正书宋_GBK" w:hAnsi="Times New Roman" w:eastAsia="方正书宋_GBK"/>
                <w:b/>
                <w:sz w:val="18"/>
                <w:szCs w:val="18"/>
              </w:rPr>
            </w:pPr>
            <w:r>
              <w:rPr>
                <w:rFonts w:hint="eastAsia" w:ascii="方正书宋_GBK" w:hAnsi="Times New Roman" w:eastAsia="方正书宋_GBK"/>
                <w:b/>
                <w:sz w:val="18"/>
                <w:szCs w:val="18"/>
              </w:rPr>
              <w:t>内容描述</w:t>
            </w:r>
          </w:p>
        </w:tc>
        <w:tc>
          <w:tcPr>
            <w:tcW w:w="2976" w:type="dxa"/>
            <w:vMerge w:val="restart"/>
            <w:vAlign w:val="center"/>
          </w:tcPr>
          <w:p>
            <w:pPr>
              <w:spacing w:line="300" w:lineRule="exact"/>
              <w:jc w:val="center"/>
              <w:rPr>
                <w:rFonts w:ascii="方正书宋_GBK" w:hAnsi="Times New Roman" w:eastAsia="方正书宋_GBK"/>
                <w:b/>
                <w:sz w:val="18"/>
                <w:szCs w:val="18"/>
              </w:rPr>
            </w:pPr>
            <w:r>
              <w:rPr>
                <w:rFonts w:hint="eastAsia" w:ascii="方正书宋_GBK" w:hAnsi="Times New Roman" w:eastAsia="方正书宋_GBK"/>
                <w:b/>
                <w:sz w:val="18"/>
                <w:szCs w:val="18"/>
              </w:rPr>
              <w:t>绩效目标</w:t>
            </w:r>
          </w:p>
        </w:tc>
        <w:tc>
          <w:tcPr>
            <w:tcW w:w="1417" w:type="dxa"/>
            <w:vMerge w:val="restart"/>
            <w:vAlign w:val="center"/>
          </w:tcPr>
          <w:p>
            <w:pPr>
              <w:spacing w:line="300" w:lineRule="exact"/>
              <w:jc w:val="center"/>
              <w:rPr>
                <w:rFonts w:ascii="方正书宋_GBK" w:hAnsi="Times New Roman" w:eastAsia="方正书宋_GBK"/>
                <w:b/>
                <w:sz w:val="18"/>
                <w:szCs w:val="18"/>
              </w:rPr>
            </w:pPr>
            <w:r>
              <w:rPr>
                <w:rFonts w:hint="eastAsia" w:ascii="方正书宋_GBK" w:hAnsi="Times New Roman" w:eastAsia="方正书宋_GBK"/>
                <w:b/>
                <w:sz w:val="18"/>
                <w:szCs w:val="18"/>
              </w:rPr>
              <w:t>绩效指标</w:t>
            </w:r>
          </w:p>
        </w:tc>
        <w:tc>
          <w:tcPr>
            <w:tcW w:w="2948" w:type="dxa"/>
            <w:gridSpan w:val="4"/>
            <w:vAlign w:val="center"/>
          </w:tcPr>
          <w:p>
            <w:pPr>
              <w:spacing w:line="300" w:lineRule="exact"/>
              <w:jc w:val="center"/>
              <w:rPr>
                <w:rFonts w:ascii="方正书宋_GBK" w:hAnsi="Times New Roman" w:eastAsia="方正书宋_GBK"/>
                <w:b/>
                <w:sz w:val="18"/>
                <w:szCs w:val="18"/>
              </w:rPr>
            </w:pPr>
            <w:r>
              <w:rPr>
                <w:rFonts w:hint="eastAsia" w:ascii="方正书宋_GBK" w:hAnsi="Times New Roman" w:eastAsia="方正书宋_GBK"/>
                <w:b/>
                <w:sz w:val="18"/>
                <w:szCs w:val="18"/>
              </w:rPr>
              <w:t>评价标准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tblHeader/>
          <w:jc w:val="center"/>
        </w:trPr>
        <w:tc>
          <w:tcPr>
            <w:tcW w:w="2341" w:type="dxa"/>
            <w:vMerge w:val="continue"/>
            <w:vAlign w:val="center"/>
          </w:tcPr>
          <w:p>
            <w:pPr>
              <w:spacing w:line="300" w:lineRule="exact"/>
              <w:jc w:val="left"/>
              <w:outlineLvl w:val="0"/>
              <w:rPr>
                <w:rFonts w:ascii="Times New Roman" w:hAnsi="Times New Roman"/>
                <w:sz w:val="18"/>
                <w:szCs w:val="18"/>
              </w:rPr>
            </w:pPr>
          </w:p>
        </w:tc>
        <w:tc>
          <w:tcPr>
            <w:tcW w:w="1276" w:type="dxa"/>
            <w:vMerge w:val="continue"/>
            <w:vAlign w:val="center"/>
          </w:tcPr>
          <w:p>
            <w:pPr>
              <w:spacing w:line="300" w:lineRule="exact"/>
              <w:jc w:val="left"/>
              <w:outlineLvl w:val="0"/>
              <w:rPr>
                <w:rFonts w:ascii="Times New Roman" w:hAnsi="Times New Roman"/>
                <w:sz w:val="18"/>
                <w:szCs w:val="18"/>
              </w:rPr>
            </w:pPr>
          </w:p>
        </w:tc>
        <w:tc>
          <w:tcPr>
            <w:tcW w:w="2976" w:type="dxa"/>
            <w:vMerge w:val="continue"/>
            <w:vAlign w:val="center"/>
          </w:tcPr>
          <w:p>
            <w:pPr>
              <w:spacing w:line="300" w:lineRule="exact"/>
              <w:jc w:val="left"/>
              <w:outlineLvl w:val="0"/>
              <w:rPr>
                <w:rFonts w:ascii="Times New Roman" w:hAnsi="Times New Roman"/>
                <w:sz w:val="18"/>
                <w:szCs w:val="18"/>
              </w:rPr>
            </w:pPr>
          </w:p>
        </w:tc>
        <w:tc>
          <w:tcPr>
            <w:tcW w:w="2976" w:type="dxa"/>
            <w:vMerge w:val="continue"/>
            <w:vAlign w:val="center"/>
          </w:tcPr>
          <w:p>
            <w:pPr>
              <w:spacing w:line="300" w:lineRule="exact"/>
              <w:jc w:val="left"/>
              <w:outlineLvl w:val="0"/>
              <w:rPr>
                <w:rFonts w:ascii="Times New Roman" w:hAnsi="Times New Roman"/>
                <w:sz w:val="18"/>
                <w:szCs w:val="18"/>
              </w:rPr>
            </w:pPr>
          </w:p>
        </w:tc>
        <w:tc>
          <w:tcPr>
            <w:tcW w:w="1417" w:type="dxa"/>
            <w:vMerge w:val="continue"/>
            <w:vAlign w:val="center"/>
          </w:tcPr>
          <w:p>
            <w:pPr>
              <w:spacing w:line="300" w:lineRule="exact"/>
              <w:jc w:val="left"/>
              <w:outlineLvl w:val="0"/>
              <w:rPr>
                <w:rFonts w:ascii="Times New Roman" w:hAnsi="Times New Roman"/>
                <w:sz w:val="18"/>
                <w:szCs w:val="18"/>
              </w:rPr>
            </w:pPr>
          </w:p>
        </w:tc>
        <w:tc>
          <w:tcPr>
            <w:tcW w:w="737" w:type="dxa"/>
            <w:vAlign w:val="center"/>
          </w:tcPr>
          <w:p>
            <w:pPr>
              <w:spacing w:line="300" w:lineRule="exact"/>
              <w:jc w:val="center"/>
              <w:rPr>
                <w:rFonts w:ascii="方正书宋_GBK" w:hAnsi="Times New Roman" w:eastAsia="方正书宋_GBK"/>
                <w:b/>
                <w:sz w:val="18"/>
                <w:szCs w:val="18"/>
              </w:rPr>
            </w:pPr>
            <w:r>
              <w:rPr>
                <w:rFonts w:hint="eastAsia" w:ascii="方正书宋_GBK" w:hAnsi="Times New Roman" w:eastAsia="方正书宋_GBK"/>
                <w:b/>
                <w:sz w:val="18"/>
                <w:szCs w:val="18"/>
              </w:rPr>
              <w:t>优</w:t>
            </w:r>
          </w:p>
        </w:tc>
        <w:tc>
          <w:tcPr>
            <w:tcW w:w="737" w:type="dxa"/>
            <w:vAlign w:val="center"/>
          </w:tcPr>
          <w:p>
            <w:pPr>
              <w:spacing w:line="300" w:lineRule="exact"/>
              <w:jc w:val="center"/>
              <w:rPr>
                <w:rFonts w:ascii="方正书宋_GBK" w:hAnsi="Times New Roman" w:eastAsia="方正书宋_GBK"/>
                <w:b/>
                <w:sz w:val="18"/>
                <w:szCs w:val="18"/>
              </w:rPr>
            </w:pPr>
            <w:r>
              <w:rPr>
                <w:rFonts w:hint="eastAsia" w:ascii="方正书宋_GBK" w:hAnsi="Times New Roman" w:eastAsia="方正书宋_GBK"/>
                <w:b/>
                <w:sz w:val="18"/>
                <w:szCs w:val="18"/>
              </w:rPr>
              <w:t>良</w:t>
            </w:r>
          </w:p>
        </w:tc>
        <w:tc>
          <w:tcPr>
            <w:tcW w:w="737" w:type="dxa"/>
            <w:vAlign w:val="center"/>
          </w:tcPr>
          <w:p>
            <w:pPr>
              <w:spacing w:line="300" w:lineRule="exact"/>
              <w:jc w:val="center"/>
              <w:rPr>
                <w:rFonts w:ascii="方正书宋_GBK" w:hAnsi="Times New Roman" w:eastAsia="方正书宋_GBK"/>
                <w:b/>
                <w:sz w:val="18"/>
                <w:szCs w:val="18"/>
              </w:rPr>
            </w:pPr>
            <w:r>
              <w:rPr>
                <w:rFonts w:hint="eastAsia" w:ascii="方正书宋_GBK" w:hAnsi="Times New Roman" w:eastAsia="方正书宋_GBK"/>
                <w:b/>
                <w:sz w:val="18"/>
                <w:szCs w:val="18"/>
              </w:rPr>
              <w:t>中</w:t>
            </w:r>
          </w:p>
        </w:tc>
        <w:tc>
          <w:tcPr>
            <w:tcW w:w="737" w:type="dxa"/>
            <w:vAlign w:val="center"/>
          </w:tcPr>
          <w:p>
            <w:pPr>
              <w:spacing w:line="300" w:lineRule="exact"/>
              <w:jc w:val="center"/>
              <w:rPr>
                <w:rFonts w:ascii="方正书宋_GBK" w:hAnsi="Times New Roman" w:eastAsia="方正书宋_GBK"/>
                <w:b/>
                <w:sz w:val="18"/>
                <w:szCs w:val="18"/>
              </w:rPr>
            </w:pPr>
            <w:r>
              <w:rPr>
                <w:rFonts w:hint="eastAsia" w:ascii="方正书宋_GBK" w:hAnsi="Times New Roman" w:eastAsia="方正书宋_GBK"/>
                <w:b/>
                <w:sz w:val="18"/>
                <w:szCs w:val="18"/>
              </w:rPr>
              <w:t>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2341" w:type="dxa"/>
            <w:vAlign w:val="center"/>
          </w:tcPr>
          <w:p>
            <w:pPr>
              <w:spacing w:line="300" w:lineRule="exact"/>
              <w:jc w:val="left"/>
              <w:rPr>
                <w:rFonts w:ascii="宋体"/>
              </w:rPr>
            </w:pPr>
            <w:r>
              <w:rPr>
                <w:rFonts w:hint="eastAsia" w:ascii="宋体" w:hAnsi="宋体"/>
              </w:rPr>
              <w:t>综合业务、事务管理</w:t>
            </w:r>
          </w:p>
        </w:tc>
        <w:tc>
          <w:tcPr>
            <w:tcW w:w="1276" w:type="dxa"/>
            <w:vAlign w:val="center"/>
          </w:tcPr>
          <w:p>
            <w:pPr>
              <w:spacing w:line="300" w:lineRule="exact"/>
              <w:jc w:val="left"/>
              <w:rPr>
                <w:rFonts w:hint="eastAsia" w:ascii="宋体" w:eastAsia="宋体"/>
                <w:lang w:val="en-US" w:eastAsia="zh-CN"/>
              </w:rPr>
            </w:pPr>
            <w:r>
              <w:rPr>
                <w:rFonts w:hint="eastAsia" w:ascii="宋体" w:hAnsi="宋体"/>
                <w:lang w:val="en-US" w:eastAsia="zh-CN"/>
              </w:rPr>
              <w:t>3625.13</w:t>
            </w:r>
          </w:p>
        </w:tc>
        <w:tc>
          <w:tcPr>
            <w:tcW w:w="2976" w:type="dxa"/>
            <w:vAlign w:val="center"/>
          </w:tcPr>
          <w:p>
            <w:pPr>
              <w:spacing w:line="300" w:lineRule="exact"/>
              <w:jc w:val="left"/>
              <w:rPr>
                <w:rFonts w:ascii="宋体"/>
              </w:rPr>
            </w:pPr>
            <w:r>
              <w:rPr>
                <w:rFonts w:hint="eastAsia" w:ascii="宋体" w:hAnsi="宋体"/>
              </w:rPr>
              <w:t>紧紧围绕乡政府中心工作，积极协调乡领导谋大事，解难事，不断提高参政水平，努力为领导提供优质服务。协助乡政府领导组织起草或审核以乡政府、乡政府办公室名义发布的公文；办理乡政府各部门和乡镇报送的文电；对乡政府部门间出现的争议问题提出处理意见；组织起草乡政府领导重要讲话及其他重要文稿；组织专题调研；承办乡政府领导交办的其他事项。</w:t>
            </w:r>
          </w:p>
        </w:tc>
        <w:tc>
          <w:tcPr>
            <w:tcW w:w="2976" w:type="dxa"/>
            <w:vAlign w:val="center"/>
          </w:tcPr>
          <w:p>
            <w:pPr>
              <w:spacing w:line="300" w:lineRule="exact"/>
              <w:jc w:val="left"/>
              <w:rPr>
                <w:rFonts w:ascii="宋体"/>
              </w:rPr>
            </w:pPr>
            <w:r>
              <w:rPr>
                <w:rFonts w:hint="eastAsia" w:ascii="宋体" w:hAnsi="宋体"/>
              </w:rPr>
              <w:t>以服务领导和机关保障有力为目标，增强优质后勤管理水平，通过加强公车管理，降低运行成本，为创建节约型机关打下了良好的基础。采取保障乡政府领导和机关工作办公环境的措施，提升服务管理水平，保障乡领导和机关工作的正常运转。及时了解国内外形势、党和国家的方针政策以及上级重要部署和要求，及时为老干部提供优质高效服务。</w:t>
            </w:r>
          </w:p>
        </w:tc>
        <w:tc>
          <w:tcPr>
            <w:tcW w:w="1417" w:type="dxa"/>
            <w:vAlign w:val="center"/>
          </w:tcPr>
          <w:p>
            <w:pPr>
              <w:spacing w:line="300" w:lineRule="exact"/>
              <w:jc w:val="left"/>
              <w:rPr>
                <w:rFonts w:ascii="宋体"/>
              </w:rPr>
            </w:pPr>
            <w:r>
              <w:rPr>
                <w:rFonts w:hint="eastAsia" w:ascii="宋体" w:hAnsi="宋体"/>
              </w:rPr>
              <w:t>各项综合业务管理工作完成率</w:t>
            </w:r>
          </w:p>
        </w:tc>
        <w:tc>
          <w:tcPr>
            <w:tcW w:w="737" w:type="dxa"/>
            <w:vAlign w:val="center"/>
          </w:tcPr>
          <w:p>
            <w:pPr>
              <w:spacing w:line="300" w:lineRule="exact"/>
              <w:jc w:val="center"/>
              <w:rPr>
                <w:rFonts w:ascii="宋体" w:hAnsi="宋体"/>
                <w:sz w:val="18"/>
                <w:szCs w:val="18"/>
              </w:rPr>
            </w:pPr>
            <w:r>
              <w:rPr>
                <w:rFonts w:hint="eastAsia" w:ascii="宋体" w:hAnsi="宋体"/>
                <w:sz w:val="18"/>
                <w:szCs w:val="18"/>
              </w:rPr>
              <w:t>≥</w:t>
            </w:r>
            <w:r>
              <w:rPr>
                <w:rFonts w:ascii="宋体" w:hAnsi="宋体"/>
                <w:sz w:val="18"/>
                <w:szCs w:val="18"/>
              </w:rPr>
              <w:t>90%</w:t>
            </w:r>
          </w:p>
        </w:tc>
        <w:tc>
          <w:tcPr>
            <w:tcW w:w="737" w:type="dxa"/>
            <w:vAlign w:val="center"/>
          </w:tcPr>
          <w:p>
            <w:pPr>
              <w:spacing w:line="300" w:lineRule="exact"/>
              <w:jc w:val="center"/>
              <w:rPr>
                <w:rFonts w:ascii="宋体" w:hAnsi="宋体"/>
                <w:sz w:val="18"/>
                <w:szCs w:val="18"/>
              </w:rPr>
            </w:pPr>
            <w:r>
              <w:rPr>
                <w:rFonts w:hint="eastAsia" w:ascii="宋体" w:hAnsi="宋体"/>
                <w:sz w:val="18"/>
                <w:szCs w:val="18"/>
              </w:rPr>
              <w:t>≥</w:t>
            </w:r>
            <w:r>
              <w:rPr>
                <w:rFonts w:ascii="宋体" w:hAnsi="宋体"/>
                <w:sz w:val="18"/>
                <w:szCs w:val="18"/>
              </w:rPr>
              <w:t>80%</w:t>
            </w:r>
          </w:p>
        </w:tc>
        <w:tc>
          <w:tcPr>
            <w:tcW w:w="737" w:type="dxa"/>
            <w:vAlign w:val="center"/>
          </w:tcPr>
          <w:p>
            <w:pPr>
              <w:spacing w:line="300" w:lineRule="exact"/>
              <w:jc w:val="center"/>
              <w:rPr>
                <w:rFonts w:ascii="宋体" w:hAnsi="宋体"/>
                <w:sz w:val="18"/>
                <w:szCs w:val="18"/>
              </w:rPr>
            </w:pPr>
            <w:r>
              <w:rPr>
                <w:rFonts w:hint="eastAsia" w:ascii="宋体" w:hAnsi="宋体"/>
                <w:sz w:val="18"/>
                <w:szCs w:val="18"/>
              </w:rPr>
              <w:t>≥</w:t>
            </w:r>
            <w:r>
              <w:rPr>
                <w:rFonts w:ascii="宋体" w:hAnsi="宋体"/>
                <w:sz w:val="18"/>
                <w:szCs w:val="18"/>
              </w:rPr>
              <w:t>70%</w:t>
            </w:r>
          </w:p>
        </w:tc>
        <w:tc>
          <w:tcPr>
            <w:tcW w:w="737" w:type="dxa"/>
            <w:vAlign w:val="center"/>
          </w:tcPr>
          <w:p>
            <w:pPr>
              <w:spacing w:line="300" w:lineRule="exact"/>
              <w:jc w:val="center"/>
              <w:rPr>
                <w:rFonts w:ascii="宋体" w:hAnsi="宋体"/>
                <w:sz w:val="18"/>
                <w:szCs w:val="18"/>
              </w:rPr>
            </w:pPr>
            <w:r>
              <w:rPr>
                <w:rFonts w:hint="eastAsia" w:ascii="宋体" w:hAnsi="宋体"/>
                <w:sz w:val="18"/>
                <w:szCs w:val="18"/>
              </w:rPr>
              <w:t>＜</w:t>
            </w:r>
            <w:r>
              <w:rPr>
                <w:rFonts w:ascii="宋体" w:hAnsi="宋体"/>
                <w:sz w:val="18"/>
                <w:szCs w:val="18"/>
              </w:rPr>
              <w:t>70%</w:t>
            </w:r>
          </w:p>
        </w:tc>
      </w:tr>
    </w:tbl>
    <w:p>
      <w:pPr>
        <w:autoSpaceDE w:val="0"/>
        <w:autoSpaceDN w:val="0"/>
        <w:adjustRightInd w:val="0"/>
        <w:ind w:firstLine="640" w:firstLineChars="200"/>
        <w:jc w:val="left"/>
        <w:rPr>
          <w:rFonts w:ascii="黑体" w:hAnsi="黑体" w:eastAsia="黑体"/>
          <w:sz w:val="32"/>
          <w:szCs w:val="32"/>
        </w:rPr>
      </w:pPr>
      <w:r>
        <w:rPr>
          <w:rFonts w:hint="eastAsia" w:ascii="黑体" w:hAnsi="黑体" w:eastAsia="黑体"/>
          <w:sz w:val="32"/>
          <w:szCs w:val="32"/>
        </w:rPr>
        <w:t>六、政府采购预算情况</w:t>
      </w:r>
    </w:p>
    <w:p>
      <w:pPr>
        <w:outlineLvl w:val="0"/>
        <w:rPr>
          <w:rFonts w:ascii="仿宋_GB2312" w:hAnsi="Times New Roman" w:eastAsia="仿宋_GB2312"/>
          <w:sz w:val="32"/>
          <w:szCs w:val="32"/>
        </w:rPr>
      </w:pPr>
      <w:bookmarkStart w:id="1" w:name="_Toc471398468"/>
      <w:r>
        <w:rPr>
          <w:rFonts w:ascii="Times New Roman" w:hAnsi="Times New Roman" w:eastAsia="方正仿宋_GBK"/>
          <w:sz w:val="32"/>
          <w:szCs w:val="24"/>
        </w:rPr>
        <w:t xml:space="preserve">   </w:t>
      </w:r>
      <w:r>
        <w:rPr>
          <w:rFonts w:ascii="Times New Roman" w:hAnsi="Times New Roman" w:eastAsia="仿宋_GB2312"/>
          <w:sz w:val="32"/>
          <w:szCs w:val="32"/>
        </w:rPr>
        <w:t>2019</w:t>
      </w:r>
      <w:r>
        <w:rPr>
          <w:rFonts w:hint="eastAsia" w:ascii="仿宋_GB2312" w:hAnsi="Times New Roman" w:eastAsia="仿宋_GB2312"/>
          <w:sz w:val="32"/>
          <w:szCs w:val="32"/>
        </w:rPr>
        <w:t>年，我单位安排政府采购预算</w:t>
      </w:r>
      <w:r>
        <w:rPr>
          <w:rFonts w:ascii="Times New Roman" w:hAnsi="Times New Roman" w:eastAsia="仿宋_GB2312"/>
          <w:sz w:val="32"/>
          <w:szCs w:val="32"/>
        </w:rPr>
        <w:t>0</w:t>
      </w:r>
      <w:r>
        <w:rPr>
          <w:rFonts w:hint="eastAsia" w:ascii="仿宋_GB2312" w:hAnsi="Times New Roman" w:eastAsia="仿宋_GB2312"/>
          <w:sz w:val="32"/>
          <w:szCs w:val="32"/>
        </w:rPr>
        <w:t>万元。具体内容见下表。</w:t>
      </w:r>
    </w:p>
    <w:p>
      <w:pPr>
        <w:jc w:val="center"/>
        <w:outlineLvl w:val="0"/>
        <w:rPr>
          <w:rFonts w:ascii="方正小标宋_GBK" w:hAnsi="Times New Roman" w:eastAsia="方正小标宋_GBK"/>
          <w:sz w:val="32"/>
          <w:szCs w:val="24"/>
        </w:rPr>
      </w:pPr>
    </w:p>
    <w:p>
      <w:pPr>
        <w:jc w:val="center"/>
        <w:outlineLvl w:val="0"/>
        <w:rPr>
          <w:rFonts w:ascii="方正小标宋_GBK" w:hAnsi="Times New Roman" w:eastAsia="方正小标宋_GBK"/>
          <w:sz w:val="32"/>
          <w:szCs w:val="24"/>
        </w:rPr>
      </w:pPr>
      <w:r>
        <w:rPr>
          <w:rFonts w:hint="eastAsia" w:ascii="方正小标宋_GBK" w:hAnsi="Times New Roman" w:eastAsia="方正小标宋_GBK"/>
          <w:sz w:val="32"/>
          <w:szCs w:val="24"/>
        </w:rPr>
        <w:t>部门政府采购预算</w:t>
      </w:r>
      <w:bookmarkEnd w:id="1"/>
    </w:p>
    <w:tbl>
      <w:tblPr>
        <w:tblStyle w:val="7"/>
        <w:tblW w:w="14497"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391"/>
        <w:gridCol w:w="1066"/>
        <w:gridCol w:w="879"/>
        <w:gridCol w:w="1398"/>
        <w:gridCol w:w="879"/>
        <w:gridCol w:w="879"/>
        <w:gridCol w:w="902"/>
        <w:gridCol w:w="899"/>
        <w:gridCol w:w="899"/>
        <w:gridCol w:w="899"/>
        <w:gridCol w:w="818"/>
        <w:gridCol w:w="881"/>
        <w:gridCol w:w="881"/>
        <w:gridCol w:w="82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8394" w:type="dxa"/>
            <w:gridSpan w:val="7"/>
            <w:tcBorders>
              <w:top w:val="single" w:color="FFFFFF" w:sz="6" w:space="0"/>
              <w:left w:val="single" w:color="FFFFFF" w:sz="6" w:space="0"/>
              <w:right w:val="single" w:color="FFFFFF" w:sz="6" w:space="0"/>
            </w:tcBorders>
            <w:vAlign w:val="center"/>
          </w:tcPr>
          <w:p>
            <w:pPr>
              <w:spacing w:line="300" w:lineRule="exact"/>
              <w:jc w:val="left"/>
              <w:rPr>
                <w:rFonts w:ascii="方正小标宋_GBK" w:hAnsi="Times New Roman" w:eastAsia="方正小标宋_GBK"/>
                <w:sz w:val="24"/>
                <w:szCs w:val="24"/>
              </w:rPr>
            </w:pPr>
            <w:r>
              <w:rPr>
                <w:rFonts w:ascii="方正小标宋_GBK" w:hAnsi="Times New Roman" w:eastAsia="方正小标宋_GBK"/>
                <w:sz w:val="24"/>
                <w:szCs w:val="24"/>
              </w:rPr>
              <w:t>808</w:t>
            </w:r>
            <w:r>
              <w:rPr>
                <w:rFonts w:hint="eastAsia" w:ascii="方正小标宋_GBK" w:hAnsi="Times New Roman" w:eastAsia="方正小标宋_GBK"/>
                <w:sz w:val="24"/>
                <w:szCs w:val="24"/>
              </w:rPr>
              <w:t>永清县</w:t>
            </w:r>
            <w:r>
              <w:rPr>
                <w:rFonts w:hint="eastAsia" w:ascii="方正小标宋_GBK" w:hAnsi="Times New Roman" w:eastAsia="方正小标宋_GBK"/>
                <w:sz w:val="24"/>
                <w:szCs w:val="24"/>
                <w:lang w:eastAsia="zh-CN"/>
              </w:rPr>
              <w:t>曹家务</w:t>
            </w:r>
            <w:r>
              <w:rPr>
                <w:rFonts w:hint="eastAsia" w:ascii="方正小标宋_GBK" w:hAnsi="Times New Roman" w:eastAsia="方正小标宋_GBK"/>
                <w:sz w:val="24"/>
                <w:szCs w:val="24"/>
              </w:rPr>
              <w:t>乡人民政府</w:t>
            </w:r>
          </w:p>
        </w:tc>
        <w:tc>
          <w:tcPr>
            <w:tcW w:w="6103" w:type="dxa"/>
            <w:gridSpan w:val="7"/>
            <w:tcBorders>
              <w:top w:val="single" w:color="FFFFFF" w:sz="6" w:space="0"/>
              <w:left w:val="single" w:color="FFFFFF" w:sz="6" w:space="0"/>
              <w:right w:val="single" w:color="FFFFFF" w:sz="6" w:space="0"/>
            </w:tcBorders>
            <w:vAlign w:val="center"/>
          </w:tcPr>
          <w:p>
            <w:pPr>
              <w:spacing w:line="300" w:lineRule="exact"/>
              <w:jc w:val="right"/>
              <w:rPr>
                <w:rFonts w:ascii="方正书宋_GBK" w:hAnsi="Times New Roman" w:eastAsia="方正书宋_GBK"/>
                <w:sz w:val="24"/>
                <w:szCs w:val="24"/>
              </w:rPr>
            </w:pPr>
            <w:r>
              <w:rPr>
                <w:rFonts w:hint="eastAsia" w:ascii="方正书宋_GBK" w:hAnsi="Times New Roman" w:eastAsia="方正书宋_GBK"/>
                <w:sz w:val="24"/>
                <w:szCs w:val="24"/>
              </w:rP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3457" w:type="dxa"/>
            <w:gridSpan w:val="2"/>
            <w:vAlign w:val="center"/>
          </w:tcPr>
          <w:p>
            <w:pPr>
              <w:spacing w:line="300" w:lineRule="exact"/>
              <w:jc w:val="center"/>
              <w:rPr>
                <w:rFonts w:ascii="方正书宋_GBK" w:hAnsi="Times New Roman" w:eastAsia="方正书宋_GBK"/>
                <w:b/>
                <w:szCs w:val="24"/>
              </w:rPr>
            </w:pPr>
            <w:r>
              <w:rPr>
                <w:rFonts w:hint="eastAsia" w:ascii="方正书宋_GBK" w:hAnsi="Times New Roman" w:eastAsia="方正书宋_GBK"/>
                <w:b/>
                <w:szCs w:val="24"/>
              </w:rPr>
              <w:t>政府采购项目来源</w:t>
            </w:r>
          </w:p>
        </w:tc>
        <w:tc>
          <w:tcPr>
            <w:tcW w:w="879" w:type="dxa"/>
            <w:vMerge w:val="restart"/>
            <w:vAlign w:val="center"/>
          </w:tcPr>
          <w:p>
            <w:pPr>
              <w:spacing w:line="300" w:lineRule="exact"/>
              <w:jc w:val="center"/>
              <w:rPr>
                <w:rFonts w:ascii="方正书宋_GBK" w:hAnsi="Times New Roman" w:eastAsia="方正书宋_GBK"/>
                <w:b/>
                <w:szCs w:val="24"/>
              </w:rPr>
            </w:pPr>
            <w:r>
              <w:rPr>
                <w:rFonts w:hint="eastAsia" w:ascii="方正书宋_GBK" w:hAnsi="Times New Roman" w:eastAsia="方正书宋_GBK"/>
                <w:b/>
                <w:szCs w:val="24"/>
              </w:rPr>
              <w:t>采购物品名称</w:t>
            </w:r>
          </w:p>
        </w:tc>
        <w:tc>
          <w:tcPr>
            <w:tcW w:w="1398" w:type="dxa"/>
            <w:vMerge w:val="restart"/>
            <w:vAlign w:val="center"/>
          </w:tcPr>
          <w:p>
            <w:pPr>
              <w:spacing w:line="300" w:lineRule="exact"/>
              <w:jc w:val="center"/>
              <w:rPr>
                <w:rFonts w:ascii="方正书宋_GBK" w:hAnsi="Times New Roman" w:eastAsia="方正书宋_GBK"/>
                <w:b/>
                <w:szCs w:val="24"/>
              </w:rPr>
            </w:pPr>
            <w:r>
              <w:rPr>
                <w:rFonts w:hint="eastAsia" w:ascii="方正书宋_GBK" w:hAnsi="Times New Roman" w:eastAsia="方正书宋_GBK"/>
                <w:b/>
                <w:szCs w:val="24"/>
              </w:rPr>
              <w:t>政府采购目录序号</w:t>
            </w:r>
          </w:p>
        </w:tc>
        <w:tc>
          <w:tcPr>
            <w:tcW w:w="879" w:type="dxa"/>
            <w:vMerge w:val="restart"/>
            <w:vAlign w:val="center"/>
          </w:tcPr>
          <w:p>
            <w:pPr>
              <w:spacing w:line="300" w:lineRule="exact"/>
              <w:jc w:val="center"/>
              <w:rPr>
                <w:rFonts w:ascii="方正书宋_GBK" w:hAnsi="Times New Roman" w:eastAsia="方正书宋_GBK"/>
                <w:b/>
                <w:szCs w:val="24"/>
              </w:rPr>
            </w:pPr>
            <w:r>
              <w:rPr>
                <w:rFonts w:hint="eastAsia" w:ascii="方正书宋_GBK" w:hAnsi="Times New Roman" w:eastAsia="方正书宋_GBK"/>
                <w:b/>
                <w:szCs w:val="24"/>
              </w:rPr>
              <w:t>数量</w:t>
            </w:r>
            <w:r>
              <w:rPr>
                <w:rFonts w:ascii="方正书宋_GBK" w:hAnsi="Times New Roman" w:eastAsia="方正书宋_GBK"/>
                <w:b/>
                <w:szCs w:val="24"/>
              </w:rPr>
              <w:t xml:space="preserve">  </w:t>
            </w:r>
            <w:r>
              <w:rPr>
                <w:rFonts w:hint="eastAsia" w:ascii="方正书宋_GBK" w:hAnsi="Times New Roman" w:eastAsia="方正书宋_GBK"/>
                <w:b/>
                <w:szCs w:val="24"/>
              </w:rPr>
              <w:t>单位</w:t>
            </w:r>
          </w:p>
        </w:tc>
        <w:tc>
          <w:tcPr>
            <w:tcW w:w="879" w:type="dxa"/>
            <w:vMerge w:val="restart"/>
            <w:vAlign w:val="center"/>
          </w:tcPr>
          <w:p>
            <w:pPr>
              <w:spacing w:line="300" w:lineRule="exact"/>
              <w:jc w:val="center"/>
              <w:rPr>
                <w:rFonts w:ascii="方正书宋_GBK" w:hAnsi="Times New Roman" w:eastAsia="方正书宋_GBK"/>
                <w:b/>
                <w:szCs w:val="24"/>
              </w:rPr>
            </w:pPr>
            <w:r>
              <w:rPr>
                <w:rFonts w:hint="eastAsia" w:ascii="方正书宋_GBK" w:hAnsi="Times New Roman" w:eastAsia="方正书宋_GBK"/>
                <w:b/>
                <w:szCs w:val="24"/>
              </w:rPr>
              <w:t>数量</w:t>
            </w:r>
          </w:p>
        </w:tc>
        <w:tc>
          <w:tcPr>
            <w:tcW w:w="902" w:type="dxa"/>
            <w:vMerge w:val="restart"/>
            <w:vAlign w:val="center"/>
          </w:tcPr>
          <w:p>
            <w:pPr>
              <w:spacing w:line="300" w:lineRule="exact"/>
              <w:jc w:val="center"/>
              <w:rPr>
                <w:rFonts w:ascii="方正书宋_GBK" w:hAnsi="Times New Roman" w:eastAsia="方正书宋_GBK"/>
                <w:b/>
                <w:szCs w:val="24"/>
              </w:rPr>
            </w:pPr>
            <w:r>
              <w:rPr>
                <w:rFonts w:hint="eastAsia" w:ascii="方正书宋_GBK" w:hAnsi="Times New Roman" w:eastAsia="方正书宋_GBK"/>
                <w:b/>
                <w:szCs w:val="24"/>
              </w:rPr>
              <w:t>单价</w:t>
            </w:r>
          </w:p>
        </w:tc>
        <w:tc>
          <w:tcPr>
            <w:tcW w:w="6103" w:type="dxa"/>
            <w:gridSpan w:val="7"/>
            <w:vAlign w:val="center"/>
          </w:tcPr>
          <w:p>
            <w:pPr>
              <w:spacing w:line="300" w:lineRule="exact"/>
              <w:jc w:val="center"/>
              <w:rPr>
                <w:rFonts w:ascii="方正书宋_GBK" w:hAnsi="Times New Roman" w:eastAsia="方正书宋_GBK"/>
                <w:b/>
                <w:szCs w:val="24"/>
              </w:rPr>
            </w:pPr>
            <w:r>
              <w:rPr>
                <w:rFonts w:hint="eastAsia" w:ascii="方正书宋_GBK" w:hAnsi="Times New Roman" w:eastAsia="方正书宋_GBK"/>
                <w:b/>
                <w:szCs w:val="24"/>
              </w:rPr>
              <w:t>政府采购金额</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2391" w:type="dxa"/>
            <w:vMerge w:val="restart"/>
            <w:vAlign w:val="center"/>
          </w:tcPr>
          <w:p>
            <w:pPr>
              <w:spacing w:line="300" w:lineRule="exact"/>
              <w:jc w:val="center"/>
              <w:rPr>
                <w:rFonts w:ascii="方正书宋_GBK" w:hAnsi="Times New Roman" w:eastAsia="方正书宋_GBK"/>
                <w:b/>
                <w:szCs w:val="24"/>
              </w:rPr>
            </w:pPr>
            <w:r>
              <w:rPr>
                <w:rFonts w:hint="eastAsia" w:ascii="方正书宋_GBK" w:hAnsi="Times New Roman" w:eastAsia="方正书宋_GBK"/>
                <w:b/>
                <w:szCs w:val="24"/>
              </w:rPr>
              <w:t>项目名称</w:t>
            </w:r>
          </w:p>
        </w:tc>
        <w:tc>
          <w:tcPr>
            <w:tcW w:w="1066" w:type="dxa"/>
            <w:vMerge w:val="restart"/>
            <w:vAlign w:val="center"/>
          </w:tcPr>
          <w:p>
            <w:pPr>
              <w:spacing w:line="300" w:lineRule="exact"/>
              <w:jc w:val="center"/>
              <w:rPr>
                <w:rFonts w:ascii="方正书宋_GBK" w:hAnsi="Times New Roman" w:eastAsia="方正书宋_GBK"/>
                <w:b/>
                <w:szCs w:val="24"/>
              </w:rPr>
            </w:pPr>
            <w:r>
              <w:rPr>
                <w:rFonts w:hint="eastAsia" w:ascii="方正书宋_GBK" w:hAnsi="Times New Roman" w:eastAsia="方正书宋_GBK"/>
                <w:b/>
                <w:szCs w:val="24"/>
              </w:rPr>
              <w:t>预算资金</w:t>
            </w:r>
          </w:p>
        </w:tc>
        <w:tc>
          <w:tcPr>
            <w:tcW w:w="879" w:type="dxa"/>
            <w:vMerge w:val="continue"/>
            <w:vAlign w:val="center"/>
          </w:tcPr>
          <w:p>
            <w:pPr>
              <w:spacing w:line="300" w:lineRule="exact"/>
              <w:jc w:val="left"/>
              <w:outlineLvl w:val="0"/>
              <w:rPr>
                <w:rFonts w:ascii="Times New Roman" w:hAnsi="Times New Roman"/>
                <w:szCs w:val="24"/>
              </w:rPr>
            </w:pPr>
          </w:p>
        </w:tc>
        <w:tc>
          <w:tcPr>
            <w:tcW w:w="1398" w:type="dxa"/>
            <w:vMerge w:val="continue"/>
            <w:vAlign w:val="center"/>
          </w:tcPr>
          <w:p>
            <w:pPr>
              <w:spacing w:line="300" w:lineRule="exact"/>
              <w:jc w:val="left"/>
              <w:outlineLvl w:val="0"/>
              <w:rPr>
                <w:rFonts w:ascii="Times New Roman" w:hAnsi="Times New Roman"/>
                <w:szCs w:val="24"/>
              </w:rPr>
            </w:pPr>
          </w:p>
        </w:tc>
        <w:tc>
          <w:tcPr>
            <w:tcW w:w="879" w:type="dxa"/>
            <w:vMerge w:val="continue"/>
            <w:vAlign w:val="center"/>
          </w:tcPr>
          <w:p>
            <w:pPr>
              <w:spacing w:line="300" w:lineRule="exact"/>
              <w:jc w:val="left"/>
              <w:outlineLvl w:val="0"/>
              <w:rPr>
                <w:rFonts w:ascii="Times New Roman" w:hAnsi="Times New Roman"/>
                <w:szCs w:val="24"/>
              </w:rPr>
            </w:pPr>
          </w:p>
        </w:tc>
        <w:tc>
          <w:tcPr>
            <w:tcW w:w="879" w:type="dxa"/>
            <w:vMerge w:val="continue"/>
            <w:vAlign w:val="center"/>
          </w:tcPr>
          <w:p>
            <w:pPr>
              <w:spacing w:line="300" w:lineRule="exact"/>
              <w:jc w:val="left"/>
              <w:outlineLvl w:val="0"/>
              <w:rPr>
                <w:rFonts w:ascii="Times New Roman" w:hAnsi="Times New Roman"/>
                <w:szCs w:val="24"/>
              </w:rPr>
            </w:pPr>
          </w:p>
        </w:tc>
        <w:tc>
          <w:tcPr>
            <w:tcW w:w="902" w:type="dxa"/>
            <w:vMerge w:val="continue"/>
            <w:vAlign w:val="center"/>
          </w:tcPr>
          <w:p>
            <w:pPr>
              <w:spacing w:line="300" w:lineRule="exact"/>
              <w:jc w:val="left"/>
              <w:outlineLvl w:val="0"/>
              <w:rPr>
                <w:rFonts w:ascii="Times New Roman" w:hAnsi="Times New Roman"/>
                <w:szCs w:val="24"/>
              </w:rPr>
            </w:pPr>
          </w:p>
        </w:tc>
        <w:tc>
          <w:tcPr>
            <w:tcW w:w="899" w:type="dxa"/>
            <w:vMerge w:val="restart"/>
            <w:vAlign w:val="center"/>
          </w:tcPr>
          <w:p>
            <w:pPr>
              <w:spacing w:line="300" w:lineRule="exact"/>
              <w:jc w:val="center"/>
              <w:rPr>
                <w:rFonts w:ascii="方正书宋_GBK" w:hAnsi="Times New Roman" w:eastAsia="方正书宋_GBK"/>
                <w:b/>
                <w:szCs w:val="24"/>
              </w:rPr>
            </w:pPr>
            <w:r>
              <w:rPr>
                <w:rFonts w:hint="eastAsia" w:ascii="方正书宋_GBK" w:hAnsi="Times New Roman" w:eastAsia="方正书宋_GBK"/>
                <w:b/>
                <w:szCs w:val="24"/>
              </w:rPr>
              <w:t>总计</w:t>
            </w:r>
          </w:p>
        </w:tc>
        <w:tc>
          <w:tcPr>
            <w:tcW w:w="4378" w:type="dxa"/>
            <w:gridSpan w:val="5"/>
            <w:vAlign w:val="center"/>
          </w:tcPr>
          <w:p>
            <w:pPr>
              <w:spacing w:line="300" w:lineRule="exact"/>
              <w:jc w:val="center"/>
              <w:rPr>
                <w:rFonts w:ascii="方正书宋_GBK" w:hAnsi="Times New Roman" w:eastAsia="方正书宋_GBK"/>
                <w:b/>
                <w:szCs w:val="24"/>
              </w:rPr>
            </w:pPr>
            <w:r>
              <w:rPr>
                <w:rFonts w:hint="eastAsia" w:ascii="方正书宋_GBK" w:hAnsi="Times New Roman" w:eastAsia="方正书宋_GBK"/>
                <w:b/>
                <w:szCs w:val="24"/>
              </w:rPr>
              <w:t>当年部门预算安排资金</w:t>
            </w:r>
          </w:p>
        </w:tc>
        <w:tc>
          <w:tcPr>
            <w:tcW w:w="826" w:type="dxa"/>
            <w:vMerge w:val="restart"/>
            <w:vAlign w:val="center"/>
          </w:tcPr>
          <w:p>
            <w:pPr>
              <w:spacing w:line="300" w:lineRule="exact"/>
              <w:jc w:val="center"/>
              <w:rPr>
                <w:rFonts w:ascii="方正书宋_GBK" w:hAnsi="Times New Roman" w:eastAsia="方正书宋_GBK"/>
                <w:b/>
                <w:szCs w:val="24"/>
              </w:rPr>
            </w:pPr>
            <w:r>
              <w:rPr>
                <w:rFonts w:hint="eastAsia" w:ascii="方正书宋_GBK" w:hAnsi="Times New Roman" w:eastAsia="方正书宋_GBK"/>
                <w:b/>
                <w:szCs w:val="24"/>
              </w:rPr>
              <w:t>其他渠道资金</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blHeader/>
          <w:jc w:val="center"/>
        </w:trPr>
        <w:tc>
          <w:tcPr>
            <w:tcW w:w="2391" w:type="dxa"/>
            <w:vMerge w:val="continue"/>
            <w:vAlign w:val="center"/>
          </w:tcPr>
          <w:p>
            <w:pPr>
              <w:spacing w:line="300" w:lineRule="exact"/>
              <w:jc w:val="left"/>
              <w:outlineLvl w:val="0"/>
              <w:rPr>
                <w:rFonts w:ascii="Times New Roman" w:hAnsi="Times New Roman"/>
                <w:szCs w:val="24"/>
              </w:rPr>
            </w:pPr>
          </w:p>
        </w:tc>
        <w:tc>
          <w:tcPr>
            <w:tcW w:w="1066" w:type="dxa"/>
            <w:vMerge w:val="continue"/>
            <w:vAlign w:val="center"/>
          </w:tcPr>
          <w:p>
            <w:pPr>
              <w:spacing w:line="300" w:lineRule="exact"/>
              <w:jc w:val="left"/>
              <w:outlineLvl w:val="0"/>
              <w:rPr>
                <w:rFonts w:ascii="Times New Roman" w:hAnsi="Times New Roman"/>
                <w:szCs w:val="24"/>
              </w:rPr>
            </w:pPr>
          </w:p>
        </w:tc>
        <w:tc>
          <w:tcPr>
            <w:tcW w:w="879" w:type="dxa"/>
            <w:vMerge w:val="continue"/>
            <w:vAlign w:val="center"/>
          </w:tcPr>
          <w:p>
            <w:pPr>
              <w:spacing w:line="300" w:lineRule="exact"/>
              <w:jc w:val="left"/>
              <w:outlineLvl w:val="0"/>
              <w:rPr>
                <w:rFonts w:ascii="Times New Roman" w:hAnsi="Times New Roman"/>
                <w:szCs w:val="24"/>
              </w:rPr>
            </w:pPr>
          </w:p>
        </w:tc>
        <w:tc>
          <w:tcPr>
            <w:tcW w:w="1398" w:type="dxa"/>
            <w:vMerge w:val="continue"/>
            <w:vAlign w:val="center"/>
          </w:tcPr>
          <w:p>
            <w:pPr>
              <w:spacing w:line="300" w:lineRule="exact"/>
              <w:jc w:val="left"/>
              <w:outlineLvl w:val="0"/>
              <w:rPr>
                <w:rFonts w:ascii="Times New Roman" w:hAnsi="Times New Roman"/>
                <w:szCs w:val="24"/>
              </w:rPr>
            </w:pPr>
          </w:p>
        </w:tc>
        <w:tc>
          <w:tcPr>
            <w:tcW w:w="879" w:type="dxa"/>
            <w:vMerge w:val="continue"/>
            <w:vAlign w:val="center"/>
          </w:tcPr>
          <w:p>
            <w:pPr>
              <w:spacing w:line="300" w:lineRule="exact"/>
              <w:jc w:val="left"/>
              <w:outlineLvl w:val="0"/>
              <w:rPr>
                <w:rFonts w:ascii="Times New Roman" w:hAnsi="Times New Roman"/>
                <w:szCs w:val="24"/>
              </w:rPr>
            </w:pPr>
          </w:p>
        </w:tc>
        <w:tc>
          <w:tcPr>
            <w:tcW w:w="879" w:type="dxa"/>
            <w:vMerge w:val="continue"/>
            <w:vAlign w:val="center"/>
          </w:tcPr>
          <w:p>
            <w:pPr>
              <w:spacing w:line="300" w:lineRule="exact"/>
              <w:jc w:val="left"/>
              <w:outlineLvl w:val="0"/>
              <w:rPr>
                <w:rFonts w:ascii="Times New Roman" w:hAnsi="Times New Roman"/>
                <w:szCs w:val="24"/>
              </w:rPr>
            </w:pPr>
          </w:p>
        </w:tc>
        <w:tc>
          <w:tcPr>
            <w:tcW w:w="902" w:type="dxa"/>
            <w:vMerge w:val="continue"/>
            <w:vAlign w:val="center"/>
          </w:tcPr>
          <w:p>
            <w:pPr>
              <w:spacing w:line="300" w:lineRule="exact"/>
              <w:jc w:val="left"/>
              <w:outlineLvl w:val="0"/>
              <w:rPr>
                <w:rFonts w:ascii="Times New Roman" w:hAnsi="Times New Roman"/>
                <w:szCs w:val="24"/>
              </w:rPr>
            </w:pPr>
          </w:p>
        </w:tc>
        <w:tc>
          <w:tcPr>
            <w:tcW w:w="899" w:type="dxa"/>
            <w:vMerge w:val="continue"/>
            <w:vAlign w:val="center"/>
          </w:tcPr>
          <w:p>
            <w:pPr>
              <w:spacing w:line="300" w:lineRule="exact"/>
              <w:jc w:val="left"/>
              <w:outlineLvl w:val="0"/>
              <w:rPr>
                <w:rFonts w:ascii="Times New Roman" w:hAnsi="Times New Roman"/>
                <w:szCs w:val="24"/>
              </w:rPr>
            </w:pPr>
          </w:p>
        </w:tc>
        <w:tc>
          <w:tcPr>
            <w:tcW w:w="899" w:type="dxa"/>
            <w:vAlign w:val="center"/>
          </w:tcPr>
          <w:p>
            <w:pPr>
              <w:spacing w:line="300" w:lineRule="exact"/>
              <w:jc w:val="center"/>
              <w:rPr>
                <w:rFonts w:ascii="方正书宋_GBK" w:hAnsi="Times New Roman" w:eastAsia="方正书宋_GBK"/>
                <w:b/>
                <w:szCs w:val="24"/>
              </w:rPr>
            </w:pPr>
            <w:r>
              <w:rPr>
                <w:rFonts w:hint="eastAsia" w:ascii="方正书宋_GBK" w:hAnsi="Times New Roman" w:eastAsia="方正书宋_GBK"/>
                <w:b/>
                <w:szCs w:val="24"/>
              </w:rPr>
              <w:t>合计</w:t>
            </w:r>
          </w:p>
        </w:tc>
        <w:tc>
          <w:tcPr>
            <w:tcW w:w="899" w:type="dxa"/>
            <w:vAlign w:val="center"/>
          </w:tcPr>
          <w:p>
            <w:pPr>
              <w:spacing w:line="300" w:lineRule="exact"/>
              <w:jc w:val="center"/>
              <w:rPr>
                <w:rFonts w:ascii="方正书宋_GBK" w:hAnsi="Times New Roman" w:eastAsia="方正书宋_GBK"/>
                <w:b/>
                <w:szCs w:val="24"/>
              </w:rPr>
            </w:pPr>
            <w:r>
              <w:rPr>
                <w:rFonts w:hint="eastAsia" w:ascii="方正书宋_GBK" w:hAnsi="Times New Roman" w:eastAsia="方正书宋_GBK"/>
                <w:b/>
                <w:szCs w:val="24"/>
              </w:rPr>
              <w:t>一般公共预算拨款</w:t>
            </w:r>
          </w:p>
        </w:tc>
        <w:tc>
          <w:tcPr>
            <w:tcW w:w="818" w:type="dxa"/>
            <w:vAlign w:val="center"/>
          </w:tcPr>
          <w:p>
            <w:pPr>
              <w:spacing w:line="300" w:lineRule="exact"/>
              <w:jc w:val="center"/>
              <w:rPr>
                <w:rFonts w:ascii="方正书宋_GBK" w:hAnsi="Times New Roman" w:eastAsia="方正书宋_GBK"/>
                <w:b/>
                <w:szCs w:val="24"/>
              </w:rPr>
            </w:pPr>
            <w:r>
              <w:rPr>
                <w:rFonts w:hint="eastAsia" w:ascii="方正书宋_GBK" w:hAnsi="Times New Roman" w:eastAsia="方正书宋_GBK"/>
                <w:b/>
                <w:szCs w:val="24"/>
              </w:rPr>
              <w:t>基金预算拨款</w:t>
            </w:r>
          </w:p>
        </w:tc>
        <w:tc>
          <w:tcPr>
            <w:tcW w:w="881" w:type="dxa"/>
            <w:vAlign w:val="center"/>
          </w:tcPr>
          <w:p>
            <w:pPr>
              <w:spacing w:line="300" w:lineRule="exact"/>
              <w:jc w:val="center"/>
              <w:rPr>
                <w:rFonts w:ascii="方正书宋_GBK" w:hAnsi="Times New Roman" w:eastAsia="方正书宋_GBK"/>
                <w:b/>
                <w:szCs w:val="24"/>
              </w:rPr>
            </w:pPr>
            <w:r>
              <w:rPr>
                <w:rFonts w:hint="eastAsia" w:ascii="方正书宋_GBK" w:hAnsi="Times New Roman" w:eastAsia="方正书宋_GBK"/>
                <w:b/>
                <w:szCs w:val="24"/>
              </w:rPr>
              <w:t>财政专户核拨</w:t>
            </w:r>
          </w:p>
        </w:tc>
        <w:tc>
          <w:tcPr>
            <w:tcW w:w="881" w:type="dxa"/>
            <w:vAlign w:val="center"/>
          </w:tcPr>
          <w:p>
            <w:pPr>
              <w:spacing w:line="300" w:lineRule="exact"/>
              <w:jc w:val="center"/>
              <w:rPr>
                <w:rFonts w:ascii="方正书宋_GBK" w:hAnsi="Times New Roman" w:eastAsia="方正书宋_GBK"/>
                <w:b/>
                <w:szCs w:val="24"/>
              </w:rPr>
            </w:pPr>
            <w:r>
              <w:rPr>
                <w:rFonts w:hint="eastAsia" w:ascii="方正书宋_GBK" w:hAnsi="Times New Roman" w:eastAsia="方正书宋_GBK"/>
                <w:b/>
                <w:szCs w:val="24"/>
              </w:rPr>
              <w:t>其他来源收入</w:t>
            </w:r>
          </w:p>
        </w:tc>
        <w:tc>
          <w:tcPr>
            <w:tcW w:w="826" w:type="dxa"/>
            <w:vMerge w:val="continue"/>
            <w:vAlign w:val="center"/>
          </w:tcPr>
          <w:p>
            <w:pPr>
              <w:spacing w:line="300" w:lineRule="exact"/>
              <w:jc w:val="left"/>
              <w:outlineLvl w:val="0"/>
              <w:rPr>
                <w:rFonts w:ascii="Times New Roman" w:hAnsi="Times New Roman"/>
                <w:szCs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2391" w:type="dxa"/>
            <w:vAlign w:val="center"/>
          </w:tcPr>
          <w:p>
            <w:pPr>
              <w:spacing w:line="300" w:lineRule="exact"/>
              <w:jc w:val="center"/>
              <w:rPr>
                <w:rFonts w:ascii="宋体"/>
                <w:b/>
                <w:szCs w:val="24"/>
              </w:rPr>
            </w:pPr>
            <w:r>
              <w:rPr>
                <w:rFonts w:hint="eastAsia" w:ascii="宋体" w:hAnsi="宋体"/>
                <w:b/>
                <w:szCs w:val="24"/>
              </w:rPr>
              <w:t>合　计</w:t>
            </w:r>
          </w:p>
        </w:tc>
        <w:tc>
          <w:tcPr>
            <w:tcW w:w="1066" w:type="dxa"/>
            <w:vAlign w:val="center"/>
          </w:tcPr>
          <w:p>
            <w:pPr>
              <w:spacing w:line="300" w:lineRule="exact"/>
              <w:jc w:val="right"/>
              <w:rPr>
                <w:rFonts w:ascii="Times New Roman" w:hAnsi="Times New Roman"/>
                <w:szCs w:val="24"/>
              </w:rPr>
            </w:pPr>
          </w:p>
        </w:tc>
        <w:tc>
          <w:tcPr>
            <w:tcW w:w="879" w:type="dxa"/>
            <w:vAlign w:val="center"/>
          </w:tcPr>
          <w:p>
            <w:pPr>
              <w:spacing w:line="300" w:lineRule="exact"/>
              <w:jc w:val="left"/>
              <w:rPr>
                <w:rFonts w:ascii="Times New Roman" w:hAnsi="Times New Roman"/>
                <w:szCs w:val="24"/>
              </w:rPr>
            </w:pPr>
          </w:p>
        </w:tc>
        <w:tc>
          <w:tcPr>
            <w:tcW w:w="1398" w:type="dxa"/>
            <w:vAlign w:val="center"/>
          </w:tcPr>
          <w:p>
            <w:pPr>
              <w:spacing w:line="300" w:lineRule="exact"/>
              <w:jc w:val="left"/>
              <w:rPr>
                <w:rFonts w:ascii="Times New Roman" w:hAnsi="Times New Roman"/>
                <w:szCs w:val="24"/>
              </w:rPr>
            </w:pPr>
          </w:p>
        </w:tc>
        <w:tc>
          <w:tcPr>
            <w:tcW w:w="879" w:type="dxa"/>
            <w:vAlign w:val="center"/>
          </w:tcPr>
          <w:p>
            <w:pPr>
              <w:spacing w:line="300" w:lineRule="exact"/>
              <w:jc w:val="left"/>
              <w:rPr>
                <w:rFonts w:ascii="Times New Roman" w:hAnsi="Times New Roman"/>
                <w:szCs w:val="24"/>
              </w:rPr>
            </w:pPr>
          </w:p>
        </w:tc>
        <w:tc>
          <w:tcPr>
            <w:tcW w:w="879" w:type="dxa"/>
            <w:vAlign w:val="center"/>
          </w:tcPr>
          <w:p>
            <w:pPr>
              <w:spacing w:line="300" w:lineRule="exact"/>
              <w:jc w:val="right"/>
              <w:rPr>
                <w:rFonts w:ascii="Times New Roman" w:hAnsi="Times New Roman"/>
                <w:szCs w:val="24"/>
              </w:rPr>
            </w:pPr>
          </w:p>
        </w:tc>
        <w:tc>
          <w:tcPr>
            <w:tcW w:w="902" w:type="dxa"/>
            <w:vAlign w:val="center"/>
          </w:tcPr>
          <w:p>
            <w:pPr>
              <w:spacing w:line="300" w:lineRule="exact"/>
              <w:jc w:val="right"/>
              <w:rPr>
                <w:rFonts w:ascii="Times New Roman" w:hAnsi="Times New Roman"/>
                <w:szCs w:val="24"/>
              </w:rPr>
            </w:pPr>
          </w:p>
        </w:tc>
        <w:tc>
          <w:tcPr>
            <w:tcW w:w="899" w:type="dxa"/>
            <w:vAlign w:val="center"/>
          </w:tcPr>
          <w:p>
            <w:pPr>
              <w:spacing w:line="300" w:lineRule="exact"/>
              <w:jc w:val="right"/>
              <w:rPr>
                <w:rFonts w:ascii="Times New Roman" w:hAnsi="Times New Roman"/>
                <w:szCs w:val="24"/>
              </w:rPr>
            </w:pPr>
          </w:p>
        </w:tc>
        <w:tc>
          <w:tcPr>
            <w:tcW w:w="899" w:type="dxa"/>
            <w:vAlign w:val="center"/>
          </w:tcPr>
          <w:p>
            <w:pPr>
              <w:spacing w:line="300" w:lineRule="exact"/>
              <w:jc w:val="right"/>
              <w:rPr>
                <w:rFonts w:ascii="Times New Roman" w:hAnsi="Times New Roman"/>
                <w:szCs w:val="24"/>
              </w:rPr>
            </w:pPr>
          </w:p>
        </w:tc>
        <w:tc>
          <w:tcPr>
            <w:tcW w:w="899" w:type="dxa"/>
            <w:vAlign w:val="center"/>
          </w:tcPr>
          <w:p>
            <w:pPr>
              <w:spacing w:line="300" w:lineRule="exact"/>
              <w:jc w:val="right"/>
              <w:rPr>
                <w:rFonts w:ascii="Times New Roman" w:hAnsi="Times New Roman"/>
                <w:szCs w:val="24"/>
              </w:rPr>
            </w:pPr>
          </w:p>
        </w:tc>
        <w:tc>
          <w:tcPr>
            <w:tcW w:w="818" w:type="dxa"/>
            <w:vAlign w:val="center"/>
          </w:tcPr>
          <w:p>
            <w:pPr>
              <w:spacing w:line="300" w:lineRule="exact"/>
              <w:jc w:val="right"/>
              <w:rPr>
                <w:rFonts w:ascii="Times New Roman" w:hAnsi="Times New Roman"/>
                <w:szCs w:val="24"/>
              </w:rPr>
            </w:pPr>
          </w:p>
        </w:tc>
        <w:tc>
          <w:tcPr>
            <w:tcW w:w="881" w:type="dxa"/>
            <w:vAlign w:val="center"/>
          </w:tcPr>
          <w:p>
            <w:pPr>
              <w:spacing w:line="300" w:lineRule="exact"/>
              <w:jc w:val="right"/>
              <w:rPr>
                <w:rFonts w:ascii="Times New Roman" w:hAnsi="Times New Roman"/>
                <w:szCs w:val="24"/>
              </w:rPr>
            </w:pPr>
          </w:p>
        </w:tc>
        <w:tc>
          <w:tcPr>
            <w:tcW w:w="881" w:type="dxa"/>
            <w:vAlign w:val="center"/>
          </w:tcPr>
          <w:p>
            <w:pPr>
              <w:spacing w:line="300" w:lineRule="exact"/>
              <w:jc w:val="right"/>
              <w:rPr>
                <w:rFonts w:ascii="Times New Roman" w:hAnsi="Times New Roman"/>
                <w:szCs w:val="24"/>
              </w:rPr>
            </w:pPr>
          </w:p>
        </w:tc>
        <w:tc>
          <w:tcPr>
            <w:tcW w:w="826" w:type="dxa"/>
            <w:vAlign w:val="center"/>
          </w:tcPr>
          <w:p>
            <w:pPr>
              <w:spacing w:line="300" w:lineRule="exact"/>
              <w:jc w:val="right"/>
              <w:rPr>
                <w:rFonts w:ascii="Times New Roman" w:hAnsi="Times New Roman"/>
                <w:szCs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2391" w:type="dxa"/>
            <w:vAlign w:val="center"/>
          </w:tcPr>
          <w:p>
            <w:pPr>
              <w:spacing w:line="300" w:lineRule="exact"/>
              <w:rPr>
                <w:rFonts w:ascii="宋体"/>
                <w:szCs w:val="24"/>
              </w:rPr>
            </w:pPr>
          </w:p>
        </w:tc>
        <w:tc>
          <w:tcPr>
            <w:tcW w:w="1066" w:type="dxa"/>
            <w:vAlign w:val="center"/>
          </w:tcPr>
          <w:p>
            <w:pPr>
              <w:spacing w:line="300" w:lineRule="exact"/>
              <w:jc w:val="right"/>
              <w:rPr>
                <w:rFonts w:ascii="Times New Roman" w:hAnsi="Times New Roman"/>
                <w:szCs w:val="24"/>
              </w:rPr>
            </w:pPr>
          </w:p>
        </w:tc>
        <w:tc>
          <w:tcPr>
            <w:tcW w:w="879" w:type="dxa"/>
            <w:vAlign w:val="center"/>
          </w:tcPr>
          <w:p>
            <w:pPr>
              <w:spacing w:line="300" w:lineRule="exact"/>
              <w:jc w:val="left"/>
              <w:rPr>
                <w:rFonts w:ascii="Times New Roman" w:hAnsi="Times New Roman"/>
                <w:szCs w:val="24"/>
              </w:rPr>
            </w:pPr>
          </w:p>
        </w:tc>
        <w:tc>
          <w:tcPr>
            <w:tcW w:w="1398" w:type="dxa"/>
            <w:vAlign w:val="center"/>
          </w:tcPr>
          <w:p>
            <w:pPr>
              <w:spacing w:line="300" w:lineRule="exact"/>
              <w:jc w:val="left"/>
              <w:rPr>
                <w:rFonts w:ascii="Times New Roman" w:hAnsi="Times New Roman"/>
                <w:szCs w:val="24"/>
              </w:rPr>
            </w:pPr>
          </w:p>
        </w:tc>
        <w:tc>
          <w:tcPr>
            <w:tcW w:w="879" w:type="dxa"/>
            <w:vAlign w:val="center"/>
          </w:tcPr>
          <w:p>
            <w:pPr>
              <w:spacing w:line="300" w:lineRule="exact"/>
              <w:jc w:val="left"/>
              <w:rPr>
                <w:rFonts w:ascii="Times New Roman" w:hAnsi="Times New Roman"/>
                <w:szCs w:val="24"/>
              </w:rPr>
            </w:pPr>
          </w:p>
        </w:tc>
        <w:tc>
          <w:tcPr>
            <w:tcW w:w="879" w:type="dxa"/>
            <w:vAlign w:val="center"/>
          </w:tcPr>
          <w:p>
            <w:pPr>
              <w:spacing w:line="300" w:lineRule="exact"/>
              <w:jc w:val="right"/>
              <w:rPr>
                <w:rFonts w:ascii="Times New Roman" w:hAnsi="Times New Roman"/>
                <w:szCs w:val="24"/>
              </w:rPr>
            </w:pPr>
          </w:p>
        </w:tc>
        <w:tc>
          <w:tcPr>
            <w:tcW w:w="902" w:type="dxa"/>
            <w:vAlign w:val="center"/>
          </w:tcPr>
          <w:p>
            <w:pPr>
              <w:spacing w:line="300" w:lineRule="exact"/>
              <w:jc w:val="right"/>
              <w:rPr>
                <w:rFonts w:ascii="Times New Roman" w:hAnsi="Times New Roman"/>
                <w:szCs w:val="24"/>
              </w:rPr>
            </w:pPr>
          </w:p>
        </w:tc>
        <w:tc>
          <w:tcPr>
            <w:tcW w:w="899" w:type="dxa"/>
            <w:vAlign w:val="center"/>
          </w:tcPr>
          <w:p>
            <w:pPr>
              <w:spacing w:line="300" w:lineRule="exact"/>
              <w:jc w:val="right"/>
              <w:rPr>
                <w:rFonts w:ascii="Times New Roman" w:hAnsi="Times New Roman"/>
                <w:szCs w:val="24"/>
              </w:rPr>
            </w:pPr>
          </w:p>
        </w:tc>
        <w:tc>
          <w:tcPr>
            <w:tcW w:w="899" w:type="dxa"/>
            <w:vAlign w:val="center"/>
          </w:tcPr>
          <w:p>
            <w:pPr>
              <w:spacing w:line="300" w:lineRule="exact"/>
              <w:jc w:val="right"/>
              <w:rPr>
                <w:rFonts w:ascii="Times New Roman" w:hAnsi="Times New Roman"/>
                <w:szCs w:val="24"/>
              </w:rPr>
            </w:pPr>
          </w:p>
        </w:tc>
        <w:tc>
          <w:tcPr>
            <w:tcW w:w="899" w:type="dxa"/>
            <w:vAlign w:val="center"/>
          </w:tcPr>
          <w:p>
            <w:pPr>
              <w:spacing w:line="300" w:lineRule="exact"/>
              <w:jc w:val="right"/>
              <w:rPr>
                <w:rFonts w:ascii="Times New Roman" w:hAnsi="Times New Roman"/>
                <w:szCs w:val="24"/>
              </w:rPr>
            </w:pPr>
          </w:p>
        </w:tc>
        <w:tc>
          <w:tcPr>
            <w:tcW w:w="818" w:type="dxa"/>
            <w:vAlign w:val="center"/>
          </w:tcPr>
          <w:p>
            <w:pPr>
              <w:spacing w:line="300" w:lineRule="exact"/>
              <w:jc w:val="right"/>
              <w:rPr>
                <w:rFonts w:ascii="Times New Roman" w:hAnsi="Times New Roman"/>
                <w:szCs w:val="24"/>
              </w:rPr>
            </w:pPr>
          </w:p>
        </w:tc>
        <w:tc>
          <w:tcPr>
            <w:tcW w:w="881" w:type="dxa"/>
            <w:vAlign w:val="center"/>
          </w:tcPr>
          <w:p>
            <w:pPr>
              <w:spacing w:line="300" w:lineRule="exact"/>
              <w:jc w:val="right"/>
              <w:rPr>
                <w:rFonts w:ascii="Times New Roman" w:hAnsi="Times New Roman"/>
                <w:szCs w:val="24"/>
              </w:rPr>
            </w:pPr>
          </w:p>
        </w:tc>
        <w:tc>
          <w:tcPr>
            <w:tcW w:w="881" w:type="dxa"/>
            <w:vAlign w:val="center"/>
          </w:tcPr>
          <w:p>
            <w:pPr>
              <w:spacing w:line="300" w:lineRule="exact"/>
              <w:jc w:val="right"/>
              <w:rPr>
                <w:rFonts w:ascii="Times New Roman" w:hAnsi="Times New Roman"/>
                <w:szCs w:val="24"/>
              </w:rPr>
            </w:pPr>
          </w:p>
        </w:tc>
        <w:tc>
          <w:tcPr>
            <w:tcW w:w="826" w:type="dxa"/>
            <w:vAlign w:val="center"/>
          </w:tcPr>
          <w:p>
            <w:pPr>
              <w:spacing w:line="300" w:lineRule="exact"/>
              <w:jc w:val="right"/>
              <w:rPr>
                <w:rFonts w:ascii="Times New Roman" w:hAnsi="Times New Roman"/>
                <w:szCs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2391" w:type="dxa"/>
            <w:vAlign w:val="center"/>
          </w:tcPr>
          <w:p>
            <w:pPr>
              <w:spacing w:line="300" w:lineRule="exact"/>
              <w:rPr>
                <w:rFonts w:ascii="宋体"/>
                <w:szCs w:val="24"/>
              </w:rPr>
            </w:pPr>
          </w:p>
        </w:tc>
        <w:tc>
          <w:tcPr>
            <w:tcW w:w="1066" w:type="dxa"/>
            <w:vAlign w:val="center"/>
          </w:tcPr>
          <w:p>
            <w:pPr>
              <w:spacing w:line="300" w:lineRule="exact"/>
              <w:jc w:val="right"/>
              <w:rPr>
                <w:rFonts w:ascii="Times New Roman" w:hAnsi="Times New Roman"/>
                <w:szCs w:val="24"/>
              </w:rPr>
            </w:pPr>
          </w:p>
        </w:tc>
        <w:tc>
          <w:tcPr>
            <w:tcW w:w="879" w:type="dxa"/>
            <w:vAlign w:val="center"/>
          </w:tcPr>
          <w:p>
            <w:pPr>
              <w:spacing w:line="300" w:lineRule="exact"/>
              <w:jc w:val="left"/>
              <w:rPr>
                <w:rFonts w:ascii="Times New Roman" w:hAnsi="Times New Roman"/>
                <w:szCs w:val="24"/>
              </w:rPr>
            </w:pPr>
          </w:p>
        </w:tc>
        <w:tc>
          <w:tcPr>
            <w:tcW w:w="1398" w:type="dxa"/>
            <w:vAlign w:val="center"/>
          </w:tcPr>
          <w:p>
            <w:pPr>
              <w:spacing w:line="300" w:lineRule="exact"/>
              <w:jc w:val="left"/>
              <w:rPr>
                <w:rFonts w:ascii="Times New Roman" w:hAnsi="Times New Roman"/>
                <w:szCs w:val="24"/>
              </w:rPr>
            </w:pPr>
          </w:p>
        </w:tc>
        <w:tc>
          <w:tcPr>
            <w:tcW w:w="879" w:type="dxa"/>
            <w:vAlign w:val="center"/>
          </w:tcPr>
          <w:p>
            <w:pPr>
              <w:spacing w:line="300" w:lineRule="exact"/>
              <w:jc w:val="left"/>
              <w:rPr>
                <w:rFonts w:ascii="Times New Roman" w:hAnsi="Times New Roman"/>
                <w:szCs w:val="24"/>
              </w:rPr>
            </w:pPr>
          </w:p>
        </w:tc>
        <w:tc>
          <w:tcPr>
            <w:tcW w:w="879" w:type="dxa"/>
            <w:vAlign w:val="center"/>
          </w:tcPr>
          <w:p>
            <w:pPr>
              <w:spacing w:line="300" w:lineRule="exact"/>
              <w:jc w:val="right"/>
              <w:rPr>
                <w:rFonts w:ascii="Times New Roman" w:hAnsi="Times New Roman"/>
                <w:szCs w:val="24"/>
              </w:rPr>
            </w:pPr>
          </w:p>
        </w:tc>
        <w:tc>
          <w:tcPr>
            <w:tcW w:w="902" w:type="dxa"/>
            <w:vAlign w:val="center"/>
          </w:tcPr>
          <w:p>
            <w:pPr>
              <w:spacing w:line="300" w:lineRule="exact"/>
              <w:jc w:val="right"/>
              <w:rPr>
                <w:rFonts w:ascii="Times New Roman" w:hAnsi="Times New Roman"/>
                <w:szCs w:val="24"/>
              </w:rPr>
            </w:pPr>
          </w:p>
        </w:tc>
        <w:tc>
          <w:tcPr>
            <w:tcW w:w="899" w:type="dxa"/>
            <w:vAlign w:val="center"/>
          </w:tcPr>
          <w:p>
            <w:pPr>
              <w:spacing w:line="300" w:lineRule="exact"/>
              <w:jc w:val="right"/>
              <w:rPr>
                <w:rFonts w:ascii="Times New Roman" w:hAnsi="Times New Roman"/>
                <w:szCs w:val="24"/>
              </w:rPr>
            </w:pPr>
          </w:p>
        </w:tc>
        <w:tc>
          <w:tcPr>
            <w:tcW w:w="899" w:type="dxa"/>
            <w:vAlign w:val="center"/>
          </w:tcPr>
          <w:p>
            <w:pPr>
              <w:spacing w:line="300" w:lineRule="exact"/>
              <w:jc w:val="right"/>
              <w:rPr>
                <w:rFonts w:ascii="Times New Roman" w:hAnsi="Times New Roman"/>
                <w:szCs w:val="24"/>
              </w:rPr>
            </w:pPr>
          </w:p>
        </w:tc>
        <w:tc>
          <w:tcPr>
            <w:tcW w:w="899" w:type="dxa"/>
            <w:vAlign w:val="center"/>
          </w:tcPr>
          <w:p>
            <w:pPr>
              <w:spacing w:line="300" w:lineRule="exact"/>
              <w:jc w:val="right"/>
              <w:rPr>
                <w:rFonts w:ascii="Times New Roman" w:hAnsi="Times New Roman"/>
                <w:szCs w:val="24"/>
              </w:rPr>
            </w:pPr>
          </w:p>
        </w:tc>
        <w:tc>
          <w:tcPr>
            <w:tcW w:w="818" w:type="dxa"/>
            <w:vAlign w:val="center"/>
          </w:tcPr>
          <w:p>
            <w:pPr>
              <w:spacing w:line="300" w:lineRule="exact"/>
              <w:jc w:val="right"/>
              <w:rPr>
                <w:rFonts w:ascii="Times New Roman" w:hAnsi="Times New Roman"/>
                <w:szCs w:val="24"/>
              </w:rPr>
            </w:pPr>
          </w:p>
        </w:tc>
        <w:tc>
          <w:tcPr>
            <w:tcW w:w="881" w:type="dxa"/>
            <w:vAlign w:val="center"/>
          </w:tcPr>
          <w:p>
            <w:pPr>
              <w:spacing w:line="300" w:lineRule="exact"/>
              <w:jc w:val="right"/>
              <w:rPr>
                <w:rFonts w:ascii="Times New Roman" w:hAnsi="Times New Roman"/>
                <w:szCs w:val="24"/>
              </w:rPr>
            </w:pPr>
          </w:p>
        </w:tc>
        <w:tc>
          <w:tcPr>
            <w:tcW w:w="881" w:type="dxa"/>
            <w:vAlign w:val="center"/>
          </w:tcPr>
          <w:p>
            <w:pPr>
              <w:spacing w:line="300" w:lineRule="exact"/>
              <w:jc w:val="right"/>
              <w:rPr>
                <w:rFonts w:ascii="Times New Roman" w:hAnsi="Times New Roman"/>
                <w:szCs w:val="24"/>
              </w:rPr>
            </w:pPr>
          </w:p>
        </w:tc>
        <w:tc>
          <w:tcPr>
            <w:tcW w:w="826" w:type="dxa"/>
            <w:vAlign w:val="center"/>
          </w:tcPr>
          <w:p>
            <w:pPr>
              <w:spacing w:line="300" w:lineRule="exact"/>
              <w:jc w:val="right"/>
              <w:rPr>
                <w:rFonts w:ascii="Times New Roman" w:hAnsi="Times New Roman"/>
                <w:szCs w:val="24"/>
              </w:rPr>
            </w:pPr>
          </w:p>
        </w:tc>
      </w:tr>
    </w:tbl>
    <w:p>
      <w:pPr>
        <w:autoSpaceDE w:val="0"/>
        <w:autoSpaceDN w:val="0"/>
        <w:adjustRightInd w:val="0"/>
        <w:ind w:left="198" w:firstLine="640" w:firstLineChars="200"/>
        <w:jc w:val="left"/>
        <w:rPr>
          <w:rFonts w:ascii="黑体" w:hAnsi="黑体" w:eastAsia="黑体"/>
          <w:sz w:val="32"/>
          <w:szCs w:val="32"/>
        </w:rPr>
      </w:pPr>
    </w:p>
    <w:p>
      <w:pPr>
        <w:autoSpaceDE w:val="0"/>
        <w:autoSpaceDN w:val="0"/>
        <w:adjustRightInd w:val="0"/>
        <w:ind w:left="198" w:firstLine="640" w:firstLineChars="200"/>
        <w:jc w:val="left"/>
        <w:rPr>
          <w:rFonts w:ascii="黑体" w:hAnsi="黑体" w:eastAsia="黑体"/>
          <w:sz w:val="32"/>
          <w:szCs w:val="32"/>
        </w:rPr>
      </w:pPr>
      <w:r>
        <w:rPr>
          <w:rFonts w:hint="eastAsia" w:ascii="黑体" w:hAnsi="黑体" w:eastAsia="黑体"/>
          <w:sz w:val="32"/>
          <w:szCs w:val="32"/>
        </w:rPr>
        <w:t>七、国有资产信息</w:t>
      </w:r>
    </w:p>
    <w:p>
      <w:pPr>
        <w:ind w:firstLine="640"/>
        <w:rPr>
          <w:rFonts w:ascii="仿宋_GB2312" w:hAnsi="黑体" w:eastAsia="仿宋_GB2312"/>
          <w:sz w:val="32"/>
          <w:szCs w:val="32"/>
        </w:rPr>
      </w:pPr>
      <w:r>
        <w:rPr>
          <w:rFonts w:hint="eastAsia" w:ascii="仿宋_GB2312" w:hAnsi="黑体" w:eastAsia="仿宋_GB2312"/>
          <w:sz w:val="32"/>
          <w:szCs w:val="32"/>
        </w:rPr>
        <w:t>永清县</w:t>
      </w:r>
      <w:r>
        <w:rPr>
          <w:rFonts w:hint="eastAsia" w:ascii="仿宋_GB2312" w:hAnsi="黑体" w:eastAsia="仿宋_GB2312"/>
          <w:sz w:val="32"/>
          <w:szCs w:val="32"/>
          <w:lang w:eastAsia="zh-CN"/>
        </w:rPr>
        <w:t>曹家务</w:t>
      </w:r>
      <w:r>
        <w:rPr>
          <w:rFonts w:hint="eastAsia" w:ascii="仿宋_GB2312" w:hAnsi="黑体" w:eastAsia="仿宋_GB2312"/>
          <w:sz w:val="32"/>
          <w:szCs w:val="32"/>
        </w:rPr>
        <w:t>乡人民政府上年末固定资产金额为</w:t>
      </w:r>
      <w:r>
        <w:rPr>
          <w:rFonts w:hint="eastAsia" w:ascii="Times New Roman" w:hAnsi="Times New Roman" w:eastAsia="仿宋_GB2312"/>
          <w:sz w:val="32"/>
          <w:szCs w:val="32"/>
          <w:lang w:val="en-US" w:eastAsia="zh-CN"/>
        </w:rPr>
        <w:t>348.74</w:t>
      </w:r>
      <w:r>
        <w:rPr>
          <w:rFonts w:hint="eastAsia" w:ascii="仿宋_GB2312" w:hAnsi="黑体" w:eastAsia="仿宋_GB2312"/>
          <w:sz w:val="32"/>
          <w:szCs w:val="32"/>
        </w:rPr>
        <w:t>万元，本年度我单位</w:t>
      </w:r>
      <w:r>
        <w:rPr>
          <w:rFonts w:hint="eastAsia" w:ascii="仿宋_GB2312" w:hAnsi="黑体" w:eastAsia="仿宋_GB2312"/>
          <w:sz w:val="32"/>
          <w:szCs w:val="32"/>
          <w:lang w:val="en-US" w:eastAsia="zh-CN"/>
        </w:rPr>
        <w:t>无</w:t>
      </w:r>
      <w:r>
        <w:rPr>
          <w:rFonts w:hint="eastAsia" w:ascii="仿宋_GB2312" w:hAnsi="黑体" w:eastAsia="仿宋_GB2312"/>
          <w:sz w:val="32"/>
          <w:szCs w:val="32"/>
        </w:rPr>
        <w:t>拟购置固定资产。详见下表。</w:t>
      </w:r>
    </w:p>
    <w:tbl>
      <w:tblPr>
        <w:tblStyle w:val="7"/>
        <w:tblW w:w="13482" w:type="dxa"/>
        <w:tblInd w:w="93" w:type="dxa"/>
        <w:tblLayout w:type="fixed"/>
        <w:tblCellMar>
          <w:top w:w="0" w:type="dxa"/>
          <w:left w:w="108" w:type="dxa"/>
          <w:bottom w:w="0" w:type="dxa"/>
          <w:right w:w="108" w:type="dxa"/>
        </w:tblCellMar>
      </w:tblPr>
      <w:tblGrid>
        <w:gridCol w:w="5224"/>
        <w:gridCol w:w="3155"/>
        <w:gridCol w:w="5103"/>
      </w:tblGrid>
      <w:tr>
        <w:tblPrEx>
          <w:tblCellMar>
            <w:top w:w="0" w:type="dxa"/>
            <w:left w:w="108" w:type="dxa"/>
            <w:bottom w:w="0" w:type="dxa"/>
            <w:right w:w="108" w:type="dxa"/>
          </w:tblCellMar>
        </w:tblPrEx>
        <w:trPr>
          <w:trHeight w:val="705" w:hRule="atLeast"/>
        </w:trPr>
        <w:tc>
          <w:tcPr>
            <w:tcW w:w="13482" w:type="dxa"/>
            <w:gridSpan w:val="3"/>
            <w:tcBorders>
              <w:top w:val="nil"/>
              <w:left w:val="nil"/>
              <w:bottom w:val="nil"/>
              <w:right w:val="nil"/>
            </w:tcBorders>
            <w:noWrap/>
            <w:vAlign w:val="center"/>
          </w:tcPr>
          <w:p>
            <w:pPr>
              <w:widowControl/>
              <w:jc w:val="center"/>
              <w:rPr>
                <w:rFonts w:ascii="宋体" w:cs="宋体"/>
                <w:b/>
                <w:bCs/>
                <w:kern w:val="0"/>
                <w:sz w:val="32"/>
                <w:szCs w:val="32"/>
              </w:rPr>
            </w:pPr>
          </w:p>
          <w:p>
            <w:pPr>
              <w:widowControl/>
              <w:jc w:val="center"/>
              <w:rPr>
                <w:rFonts w:ascii="宋体" w:cs="宋体"/>
                <w:b/>
                <w:bCs/>
                <w:kern w:val="0"/>
                <w:sz w:val="32"/>
                <w:szCs w:val="32"/>
              </w:rPr>
            </w:pPr>
            <w:r>
              <w:rPr>
                <w:rFonts w:hint="eastAsia" w:ascii="宋体" w:hAnsi="宋体" w:cs="宋体"/>
                <w:b/>
                <w:bCs/>
                <w:kern w:val="0"/>
                <w:sz w:val="32"/>
                <w:szCs w:val="32"/>
              </w:rPr>
              <w:t>永清县县直部门固定资产占用情况表</w:t>
            </w:r>
          </w:p>
        </w:tc>
      </w:tr>
      <w:tr>
        <w:tblPrEx>
          <w:tblCellMar>
            <w:top w:w="0" w:type="dxa"/>
            <w:left w:w="108" w:type="dxa"/>
            <w:bottom w:w="0" w:type="dxa"/>
            <w:right w:w="108" w:type="dxa"/>
          </w:tblCellMar>
        </w:tblPrEx>
        <w:trPr>
          <w:trHeight w:val="510" w:hRule="atLeast"/>
        </w:trPr>
        <w:tc>
          <w:tcPr>
            <w:tcW w:w="8379" w:type="dxa"/>
            <w:gridSpan w:val="2"/>
            <w:tcBorders>
              <w:top w:val="nil"/>
              <w:left w:val="nil"/>
              <w:bottom w:val="nil"/>
              <w:right w:val="nil"/>
            </w:tcBorders>
            <w:noWrap/>
            <w:vAlign w:val="center"/>
          </w:tcPr>
          <w:p>
            <w:pPr>
              <w:widowControl/>
              <w:jc w:val="left"/>
              <w:rPr>
                <w:rFonts w:ascii="宋体" w:cs="宋体"/>
                <w:kern w:val="0"/>
                <w:sz w:val="22"/>
              </w:rPr>
            </w:pPr>
            <w:r>
              <w:rPr>
                <w:rFonts w:hint="eastAsia" w:ascii="宋体" w:hAnsi="宋体" w:cs="宋体"/>
                <w:kern w:val="0"/>
                <w:sz w:val="22"/>
              </w:rPr>
              <w:t>编制部门：</w:t>
            </w:r>
            <w:r>
              <w:rPr>
                <w:rFonts w:ascii="宋体" w:hAnsi="宋体" w:cs="宋体"/>
                <w:kern w:val="0"/>
                <w:sz w:val="22"/>
              </w:rPr>
              <w:t>808</w:t>
            </w:r>
            <w:r>
              <w:rPr>
                <w:rFonts w:hint="eastAsia" w:ascii="宋体" w:hAnsi="宋体" w:cs="宋体"/>
                <w:kern w:val="0"/>
                <w:sz w:val="22"/>
              </w:rPr>
              <w:t>永清县</w:t>
            </w:r>
            <w:r>
              <w:rPr>
                <w:rFonts w:hint="eastAsia" w:ascii="宋体" w:hAnsi="宋体" w:cs="宋体"/>
                <w:kern w:val="0"/>
                <w:sz w:val="22"/>
                <w:lang w:eastAsia="zh-CN"/>
              </w:rPr>
              <w:t>曹家务</w:t>
            </w:r>
            <w:r>
              <w:rPr>
                <w:rFonts w:hint="eastAsia" w:ascii="宋体" w:hAnsi="宋体" w:cs="宋体"/>
                <w:kern w:val="0"/>
                <w:sz w:val="22"/>
              </w:rPr>
              <w:t>乡人民政府</w:t>
            </w:r>
          </w:p>
        </w:tc>
        <w:tc>
          <w:tcPr>
            <w:tcW w:w="5103" w:type="dxa"/>
            <w:tcBorders>
              <w:top w:val="nil"/>
              <w:left w:val="nil"/>
              <w:bottom w:val="nil"/>
              <w:right w:val="nil"/>
            </w:tcBorders>
            <w:noWrap/>
            <w:vAlign w:val="center"/>
          </w:tcPr>
          <w:p>
            <w:pPr>
              <w:widowControl/>
              <w:jc w:val="left"/>
              <w:rPr>
                <w:rFonts w:ascii="宋体" w:cs="宋体"/>
                <w:kern w:val="0"/>
                <w:sz w:val="22"/>
              </w:rPr>
            </w:pPr>
            <w:r>
              <w:rPr>
                <w:rFonts w:hint="eastAsia" w:ascii="宋体" w:hAnsi="宋体" w:cs="宋体"/>
                <w:kern w:val="0"/>
                <w:sz w:val="22"/>
              </w:rPr>
              <w:t>截止时间：</w:t>
            </w:r>
            <w:r>
              <w:rPr>
                <w:rFonts w:ascii="宋体" w:hAnsi="宋体" w:cs="宋体"/>
                <w:kern w:val="0"/>
                <w:sz w:val="22"/>
              </w:rPr>
              <w:t>201</w:t>
            </w:r>
            <w:r>
              <w:rPr>
                <w:rFonts w:hint="eastAsia" w:ascii="宋体" w:hAnsi="宋体" w:cs="宋体"/>
                <w:kern w:val="0"/>
                <w:sz w:val="22"/>
                <w:lang w:val="en-US" w:eastAsia="zh-CN"/>
              </w:rPr>
              <w:t>8</w:t>
            </w:r>
            <w:r>
              <w:rPr>
                <w:rFonts w:hint="eastAsia" w:ascii="宋体" w:hAnsi="宋体" w:cs="宋体"/>
                <w:kern w:val="0"/>
                <w:sz w:val="22"/>
              </w:rPr>
              <w:t>年</w:t>
            </w:r>
            <w:r>
              <w:rPr>
                <w:rFonts w:ascii="宋体" w:hAnsi="宋体" w:cs="宋体"/>
                <w:kern w:val="0"/>
                <w:sz w:val="22"/>
              </w:rPr>
              <w:t>12</w:t>
            </w:r>
            <w:r>
              <w:rPr>
                <w:rFonts w:hint="eastAsia" w:ascii="宋体" w:hAnsi="宋体" w:cs="宋体"/>
                <w:kern w:val="0"/>
                <w:sz w:val="22"/>
              </w:rPr>
              <w:t>月</w:t>
            </w:r>
            <w:r>
              <w:rPr>
                <w:rFonts w:ascii="宋体" w:hAnsi="宋体" w:cs="宋体"/>
                <w:kern w:val="0"/>
                <w:sz w:val="22"/>
              </w:rPr>
              <w:t>31</w:t>
            </w:r>
            <w:r>
              <w:rPr>
                <w:rFonts w:hint="eastAsia" w:ascii="宋体" w:hAnsi="宋体" w:cs="宋体"/>
                <w:kern w:val="0"/>
                <w:sz w:val="22"/>
              </w:rPr>
              <w:t>日</w:t>
            </w:r>
            <w:r>
              <w:rPr>
                <w:rFonts w:ascii="宋体" w:hAnsi="宋体" w:cs="宋体"/>
                <w:kern w:val="0"/>
                <w:sz w:val="22"/>
              </w:rPr>
              <w:t xml:space="preserve">  </w:t>
            </w:r>
          </w:p>
        </w:tc>
      </w:tr>
      <w:tr>
        <w:tblPrEx>
          <w:tblCellMar>
            <w:top w:w="0" w:type="dxa"/>
            <w:left w:w="108" w:type="dxa"/>
            <w:bottom w:w="0" w:type="dxa"/>
            <w:right w:w="108" w:type="dxa"/>
          </w:tblCellMar>
        </w:tblPrEx>
        <w:trPr>
          <w:trHeight w:val="645" w:hRule="atLeast"/>
        </w:trPr>
        <w:tc>
          <w:tcPr>
            <w:tcW w:w="5224"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cs="宋体"/>
                <w:b/>
                <w:bCs/>
                <w:kern w:val="0"/>
                <w:sz w:val="22"/>
              </w:rPr>
            </w:pPr>
            <w:r>
              <w:rPr>
                <w:rFonts w:hint="eastAsia" w:ascii="宋体" w:hAnsi="宋体" w:cs="宋体"/>
                <w:b/>
                <w:bCs/>
                <w:kern w:val="0"/>
                <w:sz w:val="22"/>
              </w:rPr>
              <w:t>项</w:t>
            </w:r>
            <w:r>
              <w:rPr>
                <w:rFonts w:ascii="宋体" w:hAnsi="宋体" w:cs="宋体"/>
                <w:b/>
                <w:bCs/>
                <w:kern w:val="0"/>
                <w:sz w:val="22"/>
              </w:rPr>
              <w:t xml:space="preserve">   </w:t>
            </w:r>
            <w:r>
              <w:rPr>
                <w:rFonts w:hint="eastAsia" w:ascii="宋体" w:hAnsi="宋体" w:cs="宋体"/>
                <w:b/>
                <w:bCs/>
                <w:kern w:val="0"/>
                <w:sz w:val="22"/>
              </w:rPr>
              <w:t>目</w:t>
            </w:r>
          </w:p>
        </w:tc>
        <w:tc>
          <w:tcPr>
            <w:tcW w:w="3155" w:type="dxa"/>
            <w:tcBorders>
              <w:top w:val="single" w:color="auto" w:sz="4" w:space="0"/>
              <w:left w:val="nil"/>
              <w:bottom w:val="single" w:color="auto" w:sz="4" w:space="0"/>
              <w:right w:val="single" w:color="auto" w:sz="4" w:space="0"/>
            </w:tcBorders>
            <w:noWrap/>
            <w:vAlign w:val="center"/>
          </w:tcPr>
          <w:p>
            <w:pPr>
              <w:widowControl/>
              <w:jc w:val="center"/>
              <w:rPr>
                <w:rFonts w:ascii="宋体" w:cs="宋体"/>
                <w:b/>
                <w:bCs/>
                <w:kern w:val="0"/>
                <w:sz w:val="22"/>
              </w:rPr>
            </w:pPr>
            <w:r>
              <w:rPr>
                <w:rFonts w:hint="eastAsia" w:ascii="宋体" w:hAnsi="宋体" w:cs="宋体"/>
                <w:b/>
                <w:bCs/>
                <w:kern w:val="0"/>
                <w:sz w:val="22"/>
              </w:rPr>
              <w:t>数量</w:t>
            </w:r>
          </w:p>
        </w:tc>
        <w:tc>
          <w:tcPr>
            <w:tcW w:w="5103" w:type="dxa"/>
            <w:tcBorders>
              <w:top w:val="single" w:color="auto" w:sz="4" w:space="0"/>
              <w:left w:val="nil"/>
              <w:bottom w:val="single" w:color="auto" w:sz="4" w:space="0"/>
              <w:right w:val="single" w:color="auto" w:sz="4" w:space="0"/>
            </w:tcBorders>
            <w:noWrap/>
            <w:vAlign w:val="center"/>
          </w:tcPr>
          <w:p>
            <w:pPr>
              <w:widowControl/>
              <w:jc w:val="center"/>
              <w:rPr>
                <w:rFonts w:ascii="宋体" w:cs="宋体"/>
                <w:b/>
                <w:bCs/>
                <w:kern w:val="0"/>
                <w:sz w:val="22"/>
              </w:rPr>
            </w:pPr>
            <w:r>
              <w:rPr>
                <w:rFonts w:hint="eastAsia" w:ascii="宋体" w:hAnsi="宋体" w:cs="宋体"/>
                <w:b/>
                <w:bCs/>
                <w:kern w:val="0"/>
                <w:sz w:val="22"/>
              </w:rPr>
              <w:t>价值（金额单位：万元）</w:t>
            </w:r>
          </w:p>
        </w:tc>
      </w:tr>
      <w:tr>
        <w:tblPrEx>
          <w:tblCellMar>
            <w:top w:w="0" w:type="dxa"/>
            <w:left w:w="108" w:type="dxa"/>
            <w:bottom w:w="0" w:type="dxa"/>
            <w:right w:w="108" w:type="dxa"/>
          </w:tblCellMar>
        </w:tblPrEx>
        <w:trPr>
          <w:trHeight w:val="645" w:hRule="atLeast"/>
        </w:trPr>
        <w:tc>
          <w:tcPr>
            <w:tcW w:w="5224" w:type="dxa"/>
            <w:tcBorders>
              <w:top w:val="nil"/>
              <w:left w:val="single" w:color="auto" w:sz="4" w:space="0"/>
              <w:bottom w:val="single" w:color="auto" w:sz="4" w:space="0"/>
              <w:right w:val="single" w:color="auto" w:sz="4" w:space="0"/>
            </w:tcBorders>
            <w:noWrap/>
            <w:vAlign w:val="center"/>
          </w:tcPr>
          <w:p>
            <w:pPr>
              <w:widowControl/>
              <w:jc w:val="center"/>
              <w:rPr>
                <w:rFonts w:ascii="宋体" w:cs="宋体"/>
                <w:kern w:val="0"/>
                <w:sz w:val="22"/>
              </w:rPr>
            </w:pPr>
            <w:r>
              <w:rPr>
                <w:rFonts w:hint="eastAsia" w:ascii="宋体" w:hAnsi="宋体" w:cs="宋体"/>
                <w:kern w:val="0"/>
                <w:sz w:val="22"/>
              </w:rPr>
              <w:t>资产总额</w:t>
            </w:r>
          </w:p>
        </w:tc>
        <w:tc>
          <w:tcPr>
            <w:tcW w:w="3155" w:type="dxa"/>
            <w:tcBorders>
              <w:top w:val="nil"/>
              <w:left w:val="nil"/>
              <w:bottom w:val="single" w:color="auto" w:sz="4" w:space="0"/>
              <w:right w:val="single" w:color="auto" w:sz="4" w:space="0"/>
            </w:tcBorders>
            <w:noWrap/>
            <w:vAlign w:val="center"/>
          </w:tcPr>
          <w:p>
            <w:pPr>
              <w:widowControl/>
              <w:jc w:val="center"/>
              <w:rPr>
                <w:rFonts w:ascii="Times New Roman" w:hAnsi="Times New Roman"/>
                <w:kern w:val="0"/>
                <w:sz w:val="22"/>
              </w:rPr>
            </w:pPr>
            <w:r>
              <w:rPr>
                <w:rFonts w:ascii="Times New Roman" w:hAnsi="Times New Roman"/>
                <w:kern w:val="0"/>
                <w:sz w:val="22"/>
              </w:rPr>
              <w:t>——</w:t>
            </w:r>
          </w:p>
        </w:tc>
        <w:tc>
          <w:tcPr>
            <w:tcW w:w="5103" w:type="dxa"/>
            <w:tcBorders>
              <w:top w:val="nil"/>
              <w:left w:val="nil"/>
              <w:bottom w:val="single" w:color="auto" w:sz="4" w:space="0"/>
              <w:right w:val="single" w:color="auto" w:sz="4" w:space="0"/>
            </w:tcBorders>
            <w:noWrap/>
            <w:vAlign w:val="center"/>
          </w:tcPr>
          <w:p>
            <w:pPr>
              <w:widowControl/>
              <w:jc w:val="center"/>
              <w:rPr>
                <w:rFonts w:hint="eastAsia" w:ascii="Times New Roman" w:hAnsi="Times New Roman" w:eastAsia="宋体"/>
                <w:kern w:val="0"/>
                <w:sz w:val="22"/>
                <w:lang w:val="en-US" w:eastAsia="zh-CN"/>
              </w:rPr>
            </w:pPr>
            <w:r>
              <w:rPr>
                <w:rFonts w:hint="eastAsia" w:ascii="Times New Roman" w:hAnsi="Times New Roman"/>
                <w:kern w:val="0"/>
                <w:sz w:val="22"/>
                <w:lang w:val="en-US" w:eastAsia="zh-CN"/>
              </w:rPr>
              <w:t>348.74</w:t>
            </w:r>
          </w:p>
        </w:tc>
      </w:tr>
      <w:tr>
        <w:tblPrEx>
          <w:tblCellMar>
            <w:top w:w="0" w:type="dxa"/>
            <w:left w:w="108" w:type="dxa"/>
            <w:bottom w:w="0" w:type="dxa"/>
            <w:right w:w="108" w:type="dxa"/>
          </w:tblCellMar>
        </w:tblPrEx>
        <w:trPr>
          <w:trHeight w:val="645" w:hRule="atLeast"/>
        </w:trPr>
        <w:tc>
          <w:tcPr>
            <w:tcW w:w="5224" w:type="dxa"/>
            <w:tcBorders>
              <w:top w:val="nil"/>
              <w:left w:val="single" w:color="auto" w:sz="4" w:space="0"/>
              <w:bottom w:val="single" w:color="auto" w:sz="4" w:space="0"/>
              <w:right w:val="single" w:color="auto" w:sz="4" w:space="0"/>
            </w:tcBorders>
            <w:noWrap/>
            <w:vAlign w:val="center"/>
          </w:tcPr>
          <w:p>
            <w:pPr>
              <w:widowControl/>
              <w:jc w:val="left"/>
              <w:rPr>
                <w:rFonts w:ascii="宋体" w:cs="宋体"/>
                <w:kern w:val="0"/>
                <w:sz w:val="22"/>
              </w:rPr>
            </w:pPr>
            <w:r>
              <w:rPr>
                <w:rFonts w:ascii="宋体" w:hAnsi="宋体" w:cs="宋体"/>
                <w:kern w:val="0"/>
                <w:sz w:val="22"/>
              </w:rPr>
              <w:t>1</w:t>
            </w:r>
            <w:r>
              <w:rPr>
                <w:rFonts w:hint="eastAsia" w:ascii="宋体" w:hAnsi="宋体" w:cs="宋体"/>
                <w:kern w:val="0"/>
                <w:sz w:val="22"/>
              </w:rPr>
              <w:t>、房屋（平方米）</w:t>
            </w:r>
          </w:p>
        </w:tc>
        <w:tc>
          <w:tcPr>
            <w:tcW w:w="3155" w:type="dxa"/>
            <w:tcBorders>
              <w:top w:val="nil"/>
              <w:left w:val="nil"/>
              <w:bottom w:val="single" w:color="auto" w:sz="4" w:space="0"/>
              <w:right w:val="single" w:color="auto" w:sz="4" w:space="0"/>
            </w:tcBorders>
            <w:noWrap/>
            <w:vAlign w:val="center"/>
          </w:tcPr>
          <w:p>
            <w:pPr>
              <w:widowControl/>
              <w:jc w:val="center"/>
              <w:rPr>
                <w:rFonts w:hint="eastAsia" w:ascii="Times New Roman" w:hAnsi="Times New Roman" w:eastAsia="宋体"/>
                <w:kern w:val="0"/>
                <w:sz w:val="22"/>
                <w:lang w:val="en-US" w:eastAsia="zh-CN"/>
              </w:rPr>
            </w:pPr>
            <w:r>
              <w:rPr>
                <w:rFonts w:hint="eastAsia" w:ascii="Times New Roman" w:hAnsi="Times New Roman"/>
                <w:kern w:val="0"/>
                <w:sz w:val="22"/>
                <w:lang w:val="en-US" w:eastAsia="zh-CN"/>
              </w:rPr>
              <w:t>1510</w:t>
            </w:r>
          </w:p>
        </w:tc>
        <w:tc>
          <w:tcPr>
            <w:tcW w:w="5103" w:type="dxa"/>
            <w:tcBorders>
              <w:top w:val="nil"/>
              <w:left w:val="nil"/>
              <w:bottom w:val="single" w:color="auto" w:sz="4" w:space="0"/>
              <w:right w:val="single" w:color="auto" w:sz="4" w:space="0"/>
            </w:tcBorders>
            <w:noWrap/>
            <w:vAlign w:val="center"/>
          </w:tcPr>
          <w:p>
            <w:pPr>
              <w:widowControl/>
              <w:jc w:val="center"/>
              <w:rPr>
                <w:rFonts w:hint="eastAsia" w:ascii="Times New Roman" w:hAnsi="Times New Roman" w:eastAsia="宋体"/>
                <w:kern w:val="0"/>
                <w:sz w:val="22"/>
                <w:lang w:val="en-US" w:eastAsia="zh-CN"/>
              </w:rPr>
            </w:pPr>
            <w:r>
              <w:rPr>
                <w:rFonts w:hint="eastAsia" w:ascii="Times New Roman" w:hAnsi="Times New Roman"/>
                <w:kern w:val="0"/>
                <w:sz w:val="22"/>
                <w:lang w:val="en-US" w:eastAsia="zh-CN"/>
              </w:rPr>
              <w:t>168</w:t>
            </w:r>
          </w:p>
        </w:tc>
      </w:tr>
      <w:tr>
        <w:tblPrEx>
          <w:tblCellMar>
            <w:top w:w="0" w:type="dxa"/>
            <w:left w:w="108" w:type="dxa"/>
            <w:bottom w:w="0" w:type="dxa"/>
            <w:right w:w="108" w:type="dxa"/>
          </w:tblCellMar>
        </w:tblPrEx>
        <w:trPr>
          <w:trHeight w:val="645" w:hRule="atLeast"/>
        </w:trPr>
        <w:tc>
          <w:tcPr>
            <w:tcW w:w="5224" w:type="dxa"/>
            <w:tcBorders>
              <w:top w:val="nil"/>
              <w:left w:val="single" w:color="auto" w:sz="4" w:space="0"/>
              <w:bottom w:val="single" w:color="auto" w:sz="4" w:space="0"/>
              <w:right w:val="single" w:color="auto" w:sz="4" w:space="0"/>
            </w:tcBorders>
            <w:noWrap/>
            <w:vAlign w:val="center"/>
          </w:tcPr>
          <w:p>
            <w:pPr>
              <w:widowControl/>
              <w:jc w:val="left"/>
              <w:rPr>
                <w:rFonts w:ascii="宋体" w:cs="宋体"/>
                <w:kern w:val="0"/>
                <w:sz w:val="22"/>
              </w:rPr>
            </w:pPr>
            <w:r>
              <w:rPr>
                <w:rFonts w:ascii="宋体" w:hAnsi="宋体" w:cs="宋体"/>
                <w:kern w:val="0"/>
                <w:sz w:val="22"/>
              </w:rPr>
              <w:t xml:space="preserve">   </w:t>
            </w:r>
            <w:r>
              <w:rPr>
                <w:rFonts w:hint="eastAsia" w:ascii="宋体" w:hAnsi="宋体" w:cs="宋体"/>
                <w:kern w:val="0"/>
                <w:sz w:val="22"/>
              </w:rPr>
              <w:t>其中：办公用房（平方米）</w:t>
            </w:r>
          </w:p>
        </w:tc>
        <w:tc>
          <w:tcPr>
            <w:tcW w:w="3155" w:type="dxa"/>
            <w:tcBorders>
              <w:top w:val="nil"/>
              <w:left w:val="nil"/>
              <w:bottom w:val="single" w:color="auto" w:sz="4" w:space="0"/>
              <w:right w:val="single" w:color="auto" w:sz="4" w:space="0"/>
            </w:tcBorders>
            <w:noWrap/>
            <w:vAlign w:val="center"/>
          </w:tcPr>
          <w:p>
            <w:pPr>
              <w:widowControl/>
              <w:jc w:val="center"/>
              <w:rPr>
                <w:rFonts w:hint="eastAsia" w:ascii="Times New Roman" w:hAnsi="Times New Roman" w:eastAsia="宋体"/>
                <w:kern w:val="0"/>
                <w:sz w:val="22"/>
                <w:lang w:val="en-US" w:eastAsia="zh-CN"/>
              </w:rPr>
            </w:pPr>
            <w:r>
              <w:rPr>
                <w:rFonts w:hint="eastAsia" w:ascii="Times New Roman" w:hAnsi="Times New Roman"/>
                <w:kern w:val="0"/>
                <w:sz w:val="22"/>
                <w:lang w:val="en-US" w:eastAsia="zh-CN"/>
              </w:rPr>
              <w:t>1510</w:t>
            </w:r>
          </w:p>
        </w:tc>
        <w:tc>
          <w:tcPr>
            <w:tcW w:w="5103" w:type="dxa"/>
            <w:tcBorders>
              <w:top w:val="nil"/>
              <w:left w:val="nil"/>
              <w:bottom w:val="single" w:color="auto" w:sz="4" w:space="0"/>
              <w:right w:val="single" w:color="auto" w:sz="4" w:space="0"/>
            </w:tcBorders>
            <w:noWrap/>
            <w:vAlign w:val="center"/>
          </w:tcPr>
          <w:p>
            <w:pPr>
              <w:widowControl/>
              <w:jc w:val="center"/>
              <w:rPr>
                <w:rFonts w:hint="eastAsia" w:ascii="Times New Roman" w:hAnsi="Times New Roman" w:eastAsia="宋体"/>
                <w:kern w:val="0"/>
                <w:sz w:val="22"/>
                <w:lang w:val="en-US" w:eastAsia="zh-CN"/>
              </w:rPr>
            </w:pPr>
            <w:r>
              <w:rPr>
                <w:rFonts w:hint="eastAsia" w:ascii="Times New Roman" w:hAnsi="Times New Roman"/>
                <w:kern w:val="0"/>
                <w:sz w:val="22"/>
                <w:lang w:val="en-US" w:eastAsia="zh-CN"/>
              </w:rPr>
              <w:t>168</w:t>
            </w:r>
          </w:p>
        </w:tc>
      </w:tr>
      <w:tr>
        <w:tblPrEx>
          <w:tblCellMar>
            <w:top w:w="0" w:type="dxa"/>
            <w:left w:w="108" w:type="dxa"/>
            <w:bottom w:w="0" w:type="dxa"/>
            <w:right w:w="108" w:type="dxa"/>
          </w:tblCellMar>
        </w:tblPrEx>
        <w:trPr>
          <w:trHeight w:val="645" w:hRule="atLeast"/>
        </w:trPr>
        <w:tc>
          <w:tcPr>
            <w:tcW w:w="5224" w:type="dxa"/>
            <w:tcBorders>
              <w:top w:val="nil"/>
              <w:left w:val="single" w:color="auto" w:sz="4" w:space="0"/>
              <w:bottom w:val="single" w:color="auto" w:sz="4" w:space="0"/>
              <w:right w:val="single" w:color="auto" w:sz="4" w:space="0"/>
            </w:tcBorders>
            <w:noWrap/>
            <w:vAlign w:val="center"/>
          </w:tcPr>
          <w:p>
            <w:pPr>
              <w:widowControl/>
              <w:jc w:val="left"/>
              <w:rPr>
                <w:rFonts w:ascii="宋体" w:cs="宋体"/>
                <w:kern w:val="0"/>
                <w:sz w:val="22"/>
              </w:rPr>
            </w:pPr>
            <w:r>
              <w:rPr>
                <w:rFonts w:ascii="宋体" w:hAnsi="宋体" w:cs="宋体"/>
                <w:kern w:val="0"/>
                <w:sz w:val="22"/>
              </w:rPr>
              <w:t>2</w:t>
            </w:r>
            <w:r>
              <w:rPr>
                <w:rFonts w:hint="eastAsia" w:ascii="宋体" w:hAnsi="宋体" w:cs="宋体"/>
                <w:kern w:val="0"/>
                <w:sz w:val="22"/>
              </w:rPr>
              <w:t>、车辆（台、辆）</w:t>
            </w:r>
          </w:p>
        </w:tc>
        <w:tc>
          <w:tcPr>
            <w:tcW w:w="3155" w:type="dxa"/>
            <w:tcBorders>
              <w:top w:val="nil"/>
              <w:left w:val="nil"/>
              <w:bottom w:val="single" w:color="auto" w:sz="4" w:space="0"/>
              <w:right w:val="single" w:color="auto" w:sz="4" w:space="0"/>
            </w:tcBorders>
            <w:noWrap/>
            <w:vAlign w:val="center"/>
          </w:tcPr>
          <w:p>
            <w:pPr>
              <w:widowControl/>
              <w:jc w:val="center"/>
              <w:rPr>
                <w:rFonts w:ascii="Times New Roman" w:hAnsi="Times New Roman"/>
                <w:kern w:val="0"/>
                <w:sz w:val="22"/>
              </w:rPr>
            </w:pPr>
            <w:r>
              <w:rPr>
                <w:rFonts w:ascii="Times New Roman" w:hAnsi="Times New Roman"/>
                <w:kern w:val="0"/>
                <w:sz w:val="22"/>
              </w:rPr>
              <w:t>3</w:t>
            </w:r>
          </w:p>
        </w:tc>
        <w:tc>
          <w:tcPr>
            <w:tcW w:w="5103" w:type="dxa"/>
            <w:tcBorders>
              <w:top w:val="nil"/>
              <w:left w:val="nil"/>
              <w:bottom w:val="single" w:color="auto" w:sz="4" w:space="0"/>
              <w:right w:val="single" w:color="auto" w:sz="4" w:space="0"/>
            </w:tcBorders>
            <w:noWrap/>
            <w:vAlign w:val="center"/>
          </w:tcPr>
          <w:p>
            <w:pPr>
              <w:widowControl/>
              <w:jc w:val="center"/>
              <w:rPr>
                <w:rFonts w:hint="eastAsia" w:ascii="Times New Roman" w:hAnsi="Times New Roman" w:eastAsia="宋体"/>
                <w:kern w:val="0"/>
                <w:sz w:val="22"/>
                <w:lang w:val="en-US" w:eastAsia="zh-CN"/>
              </w:rPr>
            </w:pPr>
            <w:r>
              <w:rPr>
                <w:rFonts w:hint="eastAsia" w:ascii="Times New Roman" w:hAnsi="Times New Roman"/>
                <w:kern w:val="0"/>
                <w:sz w:val="22"/>
                <w:lang w:val="en-US" w:eastAsia="zh-CN"/>
              </w:rPr>
              <w:t>112.23</w:t>
            </w:r>
          </w:p>
        </w:tc>
      </w:tr>
      <w:tr>
        <w:tblPrEx>
          <w:tblCellMar>
            <w:top w:w="0" w:type="dxa"/>
            <w:left w:w="108" w:type="dxa"/>
            <w:bottom w:w="0" w:type="dxa"/>
            <w:right w:w="108" w:type="dxa"/>
          </w:tblCellMar>
        </w:tblPrEx>
        <w:trPr>
          <w:trHeight w:val="645" w:hRule="atLeast"/>
        </w:trPr>
        <w:tc>
          <w:tcPr>
            <w:tcW w:w="5224" w:type="dxa"/>
            <w:tcBorders>
              <w:top w:val="nil"/>
              <w:left w:val="single" w:color="auto" w:sz="4" w:space="0"/>
              <w:bottom w:val="single" w:color="auto" w:sz="4" w:space="0"/>
              <w:right w:val="single" w:color="auto" w:sz="4" w:space="0"/>
            </w:tcBorders>
            <w:vAlign w:val="center"/>
          </w:tcPr>
          <w:p>
            <w:pPr>
              <w:widowControl/>
              <w:jc w:val="left"/>
              <w:rPr>
                <w:rFonts w:ascii="宋体" w:cs="宋体"/>
                <w:kern w:val="0"/>
                <w:sz w:val="22"/>
              </w:rPr>
            </w:pPr>
            <w:r>
              <w:rPr>
                <w:rFonts w:ascii="宋体" w:hAnsi="宋体" w:cs="宋体"/>
                <w:kern w:val="0"/>
                <w:sz w:val="22"/>
              </w:rPr>
              <w:t>3</w:t>
            </w:r>
            <w:r>
              <w:rPr>
                <w:rFonts w:hint="eastAsia" w:ascii="宋体" w:hAnsi="宋体" w:cs="宋体"/>
                <w:kern w:val="0"/>
                <w:sz w:val="22"/>
              </w:rPr>
              <w:t>、单价在</w:t>
            </w:r>
            <w:r>
              <w:rPr>
                <w:rFonts w:ascii="宋体" w:hAnsi="宋体" w:cs="宋体"/>
                <w:kern w:val="0"/>
                <w:sz w:val="22"/>
              </w:rPr>
              <w:t>20</w:t>
            </w:r>
            <w:r>
              <w:rPr>
                <w:rFonts w:hint="eastAsia" w:ascii="宋体" w:hAnsi="宋体" w:cs="宋体"/>
                <w:kern w:val="0"/>
                <w:sz w:val="22"/>
              </w:rPr>
              <w:t>万元以上的设备</w:t>
            </w:r>
          </w:p>
        </w:tc>
        <w:tc>
          <w:tcPr>
            <w:tcW w:w="3155" w:type="dxa"/>
            <w:tcBorders>
              <w:top w:val="nil"/>
              <w:left w:val="nil"/>
              <w:bottom w:val="single" w:color="auto" w:sz="4" w:space="0"/>
              <w:right w:val="single" w:color="auto" w:sz="4" w:space="0"/>
            </w:tcBorders>
            <w:noWrap/>
            <w:vAlign w:val="center"/>
          </w:tcPr>
          <w:p>
            <w:pPr>
              <w:widowControl/>
              <w:jc w:val="center"/>
              <w:rPr>
                <w:rFonts w:ascii="Times New Roman" w:hAnsi="Times New Roman"/>
                <w:kern w:val="0"/>
                <w:sz w:val="22"/>
              </w:rPr>
            </w:pPr>
          </w:p>
        </w:tc>
        <w:tc>
          <w:tcPr>
            <w:tcW w:w="5103" w:type="dxa"/>
            <w:tcBorders>
              <w:top w:val="nil"/>
              <w:left w:val="nil"/>
              <w:bottom w:val="single" w:color="auto" w:sz="4" w:space="0"/>
              <w:right w:val="single" w:color="auto" w:sz="4" w:space="0"/>
            </w:tcBorders>
            <w:noWrap/>
            <w:vAlign w:val="center"/>
          </w:tcPr>
          <w:p>
            <w:pPr>
              <w:widowControl/>
              <w:jc w:val="center"/>
              <w:rPr>
                <w:rFonts w:ascii="Times New Roman" w:hAnsi="Times New Roman"/>
                <w:kern w:val="0"/>
                <w:sz w:val="22"/>
              </w:rPr>
            </w:pPr>
          </w:p>
        </w:tc>
      </w:tr>
      <w:tr>
        <w:tblPrEx>
          <w:tblCellMar>
            <w:top w:w="0" w:type="dxa"/>
            <w:left w:w="108" w:type="dxa"/>
            <w:bottom w:w="0" w:type="dxa"/>
            <w:right w:w="108" w:type="dxa"/>
          </w:tblCellMar>
        </w:tblPrEx>
        <w:trPr>
          <w:trHeight w:val="645" w:hRule="atLeast"/>
        </w:trPr>
        <w:tc>
          <w:tcPr>
            <w:tcW w:w="5224" w:type="dxa"/>
            <w:tcBorders>
              <w:top w:val="nil"/>
              <w:left w:val="single" w:color="auto" w:sz="4" w:space="0"/>
              <w:bottom w:val="single" w:color="auto" w:sz="4" w:space="0"/>
              <w:right w:val="single" w:color="auto" w:sz="4" w:space="0"/>
            </w:tcBorders>
            <w:noWrap/>
            <w:vAlign w:val="center"/>
          </w:tcPr>
          <w:p>
            <w:pPr>
              <w:widowControl/>
              <w:jc w:val="left"/>
              <w:rPr>
                <w:rFonts w:ascii="宋体" w:cs="宋体"/>
                <w:kern w:val="0"/>
                <w:sz w:val="22"/>
              </w:rPr>
            </w:pPr>
            <w:r>
              <w:rPr>
                <w:rFonts w:ascii="宋体" w:hAnsi="宋体" w:cs="宋体"/>
                <w:kern w:val="0"/>
                <w:sz w:val="22"/>
              </w:rPr>
              <w:t>4</w:t>
            </w:r>
            <w:r>
              <w:rPr>
                <w:rFonts w:hint="eastAsia" w:ascii="宋体" w:hAnsi="宋体" w:cs="宋体"/>
                <w:kern w:val="0"/>
                <w:sz w:val="22"/>
              </w:rPr>
              <w:t>、其他固定资产</w:t>
            </w:r>
          </w:p>
        </w:tc>
        <w:tc>
          <w:tcPr>
            <w:tcW w:w="3155" w:type="dxa"/>
            <w:tcBorders>
              <w:top w:val="nil"/>
              <w:left w:val="nil"/>
              <w:bottom w:val="single" w:color="auto" w:sz="4" w:space="0"/>
              <w:right w:val="single" w:color="auto" w:sz="4" w:space="0"/>
            </w:tcBorders>
            <w:noWrap/>
            <w:vAlign w:val="center"/>
          </w:tcPr>
          <w:p>
            <w:pPr>
              <w:widowControl/>
              <w:jc w:val="center"/>
              <w:rPr>
                <w:rFonts w:hint="eastAsia" w:ascii="Times New Roman" w:hAnsi="Times New Roman" w:eastAsia="宋体"/>
                <w:kern w:val="0"/>
                <w:sz w:val="22"/>
                <w:lang w:val="en-US" w:eastAsia="zh-CN"/>
              </w:rPr>
            </w:pPr>
            <w:r>
              <w:rPr>
                <w:rFonts w:hint="eastAsia" w:ascii="Times New Roman" w:hAnsi="Times New Roman"/>
                <w:kern w:val="0"/>
                <w:sz w:val="22"/>
                <w:lang w:val="en-US" w:eastAsia="zh-CN"/>
              </w:rPr>
              <w:t>198</w:t>
            </w:r>
          </w:p>
        </w:tc>
        <w:tc>
          <w:tcPr>
            <w:tcW w:w="5103" w:type="dxa"/>
            <w:tcBorders>
              <w:top w:val="nil"/>
              <w:left w:val="nil"/>
              <w:bottom w:val="single" w:color="auto" w:sz="4" w:space="0"/>
              <w:right w:val="single" w:color="auto" w:sz="4" w:space="0"/>
            </w:tcBorders>
            <w:noWrap/>
            <w:vAlign w:val="center"/>
          </w:tcPr>
          <w:p>
            <w:pPr>
              <w:widowControl/>
              <w:jc w:val="center"/>
              <w:rPr>
                <w:rFonts w:hint="eastAsia" w:ascii="Times New Roman" w:hAnsi="Times New Roman" w:eastAsia="宋体"/>
                <w:kern w:val="0"/>
                <w:sz w:val="22"/>
                <w:lang w:val="en-US" w:eastAsia="zh-CN"/>
              </w:rPr>
            </w:pPr>
            <w:r>
              <w:rPr>
                <w:rFonts w:hint="eastAsia" w:ascii="Times New Roman" w:hAnsi="Times New Roman"/>
                <w:kern w:val="0"/>
                <w:sz w:val="22"/>
                <w:lang w:val="en-US" w:eastAsia="zh-CN"/>
              </w:rPr>
              <w:t>68.51</w:t>
            </w:r>
          </w:p>
        </w:tc>
      </w:tr>
    </w:tbl>
    <w:p>
      <w:pPr>
        <w:autoSpaceDE w:val="0"/>
        <w:autoSpaceDN w:val="0"/>
        <w:adjustRightInd w:val="0"/>
        <w:ind w:left="198" w:firstLine="640" w:firstLineChars="200"/>
        <w:jc w:val="left"/>
        <w:rPr>
          <w:rFonts w:ascii="黑体" w:hAnsi="黑体" w:eastAsia="黑体"/>
          <w:sz w:val="32"/>
          <w:szCs w:val="32"/>
        </w:rPr>
      </w:pPr>
      <w:r>
        <w:rPr>
          <w:rFonts w:hint="eastAsia" w:ascii="黑体" w:hAnsi="黑体" w:eastAsia="黑体"/>
          <w:sz w:val="32"/>
          <w:szCs w:val="32"/>
        </w:rPr>
        <w:t>八、名词解释</w:t>
      </w:r>
    </w:p>
    <w:p>
      <w:pPr>
        <w:pStyle w:val="13"/>
        <w:ind w:firstLine="642" w:firstLineChars="200"/>
        <w:rPr>
          <w:rFonts w:ascii="仿宋_GB2312" w:eastAsia="仿宋_GB2312"/>
          <w:b/>
          <w:bCs/>
          <w:sz w:val="32"/>
          <w:szCs w:val="32"/>
        </w:rPr>
      </w:pPr>
      <w:r>
        <w:rPr>
          <w:rFonts w:ascii="仿宋_GB2312" w:eastAsia="仿宋_GB2312"/>
          <w:b/>
          <w:bCs/>
          <w:sz w:val="32"/>
          <w:szCs w:val="32"/>
        </w:rPr>
        <w:t>1</w:t>
      </w:r>
      <w:r>
        <w:rPr>
          <w:rFonts w:hint="eastAsia" w:ascii="仿宋_GB2312" w:hAnsi="FZFangSong-Z02" w:eastAsia="仿宋_GB2312" w:cs="FZFangSong-Z02"/>
          <w:sz w:val="32"/>
          <w:szCs w:val="32"/>
        </w:rPr>
        <w:t>、</w:t>
      </w:r>
      <w:r>
        <w:rPr>
          <w:rFonts w:hint="eastAsia" w:ascii="仿宋_GB2312" w:hAnsi="FZFangSong-Z02" w:eastAsia="仿宋_GB2312" w:cs="FZFangSong-Z02"/>
          <w:b/>
          <w:sz w:val="32"/>
          <w:szCs w:val="32"/>
        </w:rPr>
        <w:t>一般公共预算拨款收入：</w:t>
      </w:r>
      <w:r>
        <w:rPr>
          <w:rFonts w:hint="eastAsia" w:ascii="仿宋_GB2312" w:hAnsi="FZFangSong-Z02" w:eastAsia="仿宋_GB2312" w:cs="FZFangSong-Z02"/>
          <w:sz w:val="32"/>
          <w:szCs w:val="32"/>
        </w:rPr>
        <w:t>指县级财政当年拨付的资金。</w:t>
      </w:r>
    </w:p>
    <w:p>
      <w:pPr>
        <w:pStyle w:val="13"/>
        <w:rPr>
          <w:rFonts w:ascii="仿宋_GB2312" w:hAnsi="FZFangSong-Z02" w:eastAsia="仿宋_GB2312" w:cs="FZFangSong-Z02"/>
          <w:sz w:val="32"/>
          <w:szCs w:val="32"/>
        </w:rPr>
      </w:pPr>
      <w:r>
        <w:rPr>
          <w:rFonts w:ascii="仿宋_GB2312" w:eastAsia="仿宋_GB2312"/>
          <w:b/>
          <w:bCs/>
          <w:sz w:val="32"/>
          <w:szCs w:val="32"/>
        </w:rPr>
        <w:t xml:space="preserve">    2</w:t>
      </w:r>
      <w:r>
        <w:rPr>
          <w:rFonts w:hint="eastAsia" w:ascii="仿宋_GB2312" w:hAnsi="FZFangSong-Z02" w:eastAsia="仿宋_GB2312" w:cs="FZFangSong-Z02"/>
          <w:sz w:val="32"/>
          <w:szCs w:val="32"/>
        </w:rPr>
        <w:t>、</w:t>
      </w:r>
      <w:r>
        <w:rPr>
          <w:rFonts w:hint="eastAsia" w:ascii="仿宋_GB2312" w:hAnsi="FZFangSong-Z02" w:eastAsia="仿宋_GB2312" w:cs="FZFangSong-Z02"/>
          <w:b/>
          <w:sz w:val="32"/>
          <w:szCs w:val="32"/>
        </w:rPr>
        <w:t>事业收入：</w:t>
      </w:r>
      <w:r>
        <w:rPr>
          <w:rFonts w:hint="eastAsia" w:ascii="仿宋_GB2312" w:hAnsi="FZFangSong-Z02" w:eastAsia="仿宋_GB2312" w:cs="FZFangSong-Z02"/>
          <w:sz w:val="32"/>
          <w:szCs w:val="32"/>
        </w:rPr>
        <w:t>指事业单位开展专业业务活动及辅助活动所取得的收入。</w:t>
      </w:r>
    </w:p>
    <w:p>
      <w:pPr>
        <w:pStyle w:val="13"/>
        <w:rPr>
          <w:rFonts w:ascii="仿宋_GB2312" w:hAnsi="FZFangSong-Z02" w:eastAsia="仿宋_GB2312" w:cs="FZFangSong-Z02"/>
          <w:sz w:val="32"/>
          <w:szCs w:val="32"/>
        </w:rPr>
      </w:pPr>
      <w:r>
        <w:rPr>
          <w:rFonts w:ascii="仿宋_GB2312" w:eastAsia="仿宋_GB2312"/>
          <w:b/>
          <w:bCs/>
          <w:sz w:val="32"/>
          <w:szCs w:val="32"/>
        </w:rPr>
        <w:t xml:space="preserve">    3</w:t>
      </w:r>
      <w:r>
        <w:rPr>
          <w:rFonts w:hint="eastAsia" w:ascii="仿宋_GB2312" w:hAnsi="FZFangSong-Z02" w:eastAsia="仿宋_GB2312" w:cs="FZFangSong-Z02"/>
          <w:sz w:val="32"/>
          <w:szCs w:val="32"/>
        </w:rPr>
        <w:t>、</w:t>
      </w:r>
      <w:r>
        <w:rPr>
          <w:rFonts w:hint="eastAsia" w:ascii="仿宋_GB2312" w:hAnsi="FZFangSong-Z02" w:eastAsia="仿宋_GB2312" w:cs="FZFangSong-Z02"/>
          <w:b/>
          <w:sz w:val="32"/>
          <w:szCs w:val="32"/>
        </w:rPr>
        <w:t>其他收入：</w:t>
      </w:r>
      <w:r>
        <w:rPr>
          <w:rFonts w:hint="eastAsia" w:ascii="仿宋_GB2312" w:hAnsi="FZFangSong-Z02" w:eastAsia="仿宋_GB2312" w:cs="FZFangSong-Z02"/>
          <w:sz w:val="32"/>
          <w:szCs w:val="32"/>
        </w:rPr>
        <w:t>指除</w:t>
      </w:r>
      <w:r>
        <w:rPr>
          <w:rFonts w:hint="eastAsia" w:ascii="仿宋_GB2312" w:eastAsia="仿宋_GB2312"/>
          <w:sz w:val="32"/>
          <w:szCs w:val="32"/>
        </w:rPr>
        <w:t>“一般公共预算</w:t>
      </w:r>
      <w:r>
        <w:rPr>
          <w:rFonts w:hint="eastAsia" w:ascii="仿宋_GB2312" w:hAnsi="FZFangSong-Z02" w:eastAsia="仿宋_GB2312" w:cs="FZFangSong-Z02"/>
          <w:sz w:val="32"/>
          <w:szCs w:val="32"/>
        </w:rPr>
        <w:t>拨款收入</w:t>
      </w:r>
      <w:r>
        <w:rPr>
          <w:rFonts w:hint="eastAsia" w:ascii="仿宋_GB2312" w:eastAsia="仿宋_GB2312"/>
          <w:sz w:val="32"/>
          <w:szCs w:val="32"/>
        </w:rPr>
        <w:t>”</w:t>
      </w:r>
      <w:r>
        <w:rPr>
          <w:rFonts w:hint="eastAsia" w:ascii="仿宋_GB2312" w:hAnsi="FZFangSong-Z02" w:eastAsia="仿宋_GB2312" w:cs="FZFangSong-Z02"/>
          <w:sz w:val="32"/>
          <w:szCs w:val="32"/>
        </w:rPr>
        <w:t>、</w:t>
      </w:r>
      <w:r>
        <w:rPr>
          <w:rFonts w:hint="eastAsia" w:ascii="仿宋_GB2312" w:eastAsia="仿宋_GB2312"/>
          <w:sz w:val="32"/>
          <w:szCs w:val="32"/>
        </w:rPr>
        <w:t>“</w:t>
      </w:r>
      <w:r>
        <w:rPr>
          <w:rFonts w:hint="eastAsia" w:ascii="仿宋_GB2312" w:hAnsi="FZFangSong-Z02" w:eastAsia="仿宋_GB2312" w:cs="FZFangSong-Z02"/>
          <w:sz w:val="32"/>
          <w:szCs w:val="32"/>
        </w:rPr>
        <w:t>事业收入</w:t>
      </w:r>
      <w:r>
        <w:rPr>
          <w:rFonts w:hint="eastAsia" w:ascii="仿宋_GB2312" w:eastAsia="仿宋_GB2312"/>
          <w:sz w:val="32"/>
          <w:szCs w:val="32"/>
        </w:rPr>
        <w:t>”</w:t>
      </w:r>
      <w:r>
        <w:rPr>
          <w:rFonts w:hint="eastAsia" w:ascii="仿宋_GB2312" w:hAnsi="FZFangSong-Z02" w:eastAsia="仿宋_GB2312" w:cs="FZFangSong-Z02"/>
          <w:sz w:val="32"/>
          <w:szCs w:val="32"/>
        </w:rPr>
        <w:t>等以外的收入。主要是按规定动用的租房收入、存款利息收入等。</w:t>
      </w:r>
    </w:p>
    <w:p>
      <w:pPr>
        <w:pStyle w:val="13"/>
        <w:rPr>
          <w:rFonts w:ascii="仿宋_GB2312" w:hAnsi="FZFangSong-Z02" w:eastAsia="仿宋_GB2312" w:cs="FZFangSong-Z02"/>
          <w:sz w:val="32"/>
          <w:szCs w:val="32"/>
        </w:rPr>
      </w:pPr>
      <w:r>
        <w:rPr>
          <w:rFonts w:ascii="仿宋_GB2312" w:eastAsia="仿宋_GB2312"/>
          <w:b/>
          <w:bCs/>
          <w:sz w:val="32"/>
          <w:szCs w:val="32"/>
        </w:rPr>
        <w:t xml:space="preserve">    4</w:t>
      </w:r>
      <w:r>
        <w:rPr>
          <w:rFonts w:hint="eastAsia" w:ascii="仿宋_GB2312" w:hAnsi="FZFangSong-Z02" w:eastAsia="仿宋_GB2312" w:cs="FZFangSong-Z02"/>
          <w:sz w:val="32"/>
          <w:szCs w:val="32"/>
        </w:rPr>
        <w:t>、</w:t>
      </w:r>
      <w:r>
        <w:rPr>
          <w:rFonts w:hint="eastAsia" w:ascii="仿宋_GB2312" w:hAnsi="FZFangSong-Z02" w:eastAsia="仿宋_GB2312" w:cs="FZFangSong-Z02"/>
          <w:b/>
          <w:sz w:val="32"/>
          <w:szCs w:val="32"/>
        </w:rPr>
        <w:t>基本支出：</w:t>
      </w:r>
      <w:r>
        <w:rPr>
          <w:rFonts w:hint="eastAsia" w:ascii="仿宋_GB2312" w:eastAsia="仿宋_GB2312"/>
          <w:sz w:val="32"/>
          <w:szCs w:val="32"/>
        </w:rPr>
        <w:t>指为保障机构正常运转、完成日常工作任务而发生的人员支出和公用支出。</w:t>
      </w:r>
    </w:p>
    <w:p>
      <w:pPr>
        <w:rPr>
          <w:rFonts w:ascii="仿宋_GB2312" w:eastAsia="仿宋_GB2312"/>
          <w:sz w:val="32"/>
          <w:szCs w:val="32"/>
        </w:rPr>
      </w:pPr>
      <w:r>
        <w:rPr>
          <w:rFonts w:ascii="仿宋_GB2312" w:eastAsia="仿宋_GB2312"/>
          <w:b/>
          <w:bCs/>
          <w:sz w:val="32"/>
          <w:szCs w:val="32"/>
        </w:rPr>
        <w:t xml:space="preserve">    5</w:t>
      </w:r>
      <w:r>
        <w:rPr>
          <w:rFonts w:hint="eastAsia" w:ascii="仿宋_GB2312" w:hAnsi="FZFangSong-Z02" w:eastAsia="仿宋_GB2312" w:cs="FZFangSong-Z02"/>
          <w:sz w:val="32"/>
          <w:szCs w:val="32"/>
        </w:rPr>
        <w:t>、</w:t>
      </w:r>
      <w:r>
        <w:rPr>
          <w:rFonts w:hint="eastAsia" w:ascii="仿宋_GB2312" w:hAnsi="FZFangSong-Z02" w:eastAsia="仿宋_GB2312" w:cs="FZFangSong-Z02"/>
          <w:b/>
          <w:sz w:val="32"/>
          <w:szCs w:val="32"/>
        </w:rPr>
        <w:t>项目支出：</w:t>
      </w:r>
      <w:r>
        <w:rPr>
          <w:rFonts w:hint="eastAsia" w:ascii="仿宋_GB2312" w:eastAsia="仿宋_GB2312"/>
          <w:sz w:val="32"/>
          <w:szCs w:val="32"/>
        </w:rPr>
        <w:t>指在基本支出之外为完成特定行政任务和事业发展目标所发生的支出。</w:t>
      </w:r>
    </w:p>
    <w:p>
      <w:pPr>
        <w:pStyle w:val="13"/>
        <w:rPr>
          <w:rFonts w:ascii="仿宋_GB2312" w:eastAsia="仿宋_GB2312"/>
          <w:sz w:val="32"/>
          <w:szCs w:val="32"/>
        </w:rPr>
      </w:pPr>
      <w:r>
        <w:rPr>
          <w:rFonts w:ascii="仿宋_GB2312" w:eastAsia="仿宋_GB2312"/>
          <w:b/>
          <w:bCs/>
          <w:sz w:val="32"/>
          <w:szCs w:val="32"/>
        </w:rPr>
        <w:t xml:space="preserve">    6</w:t>
      </w:r>
      <w:r>
        <w:rPr>
          <w:rFonts w:hint="eastAsia" w:ascii="仿宋_GB2312" w:hAnsi="FZFangSong-Z02" w:eastAsia="仿宋_GB2312" w:cs="FZFangSong-Z02"/>
          <w:sz w:val="32"/>
          <w:szCs w:val="32"/>
        </w:rPr>
        <w:t>、</w:t>
      </w:r>
      <w:r>
        <w:rPr>
          <w:rFonts w:hint="eastAsia" w:ascii="仿宋_GB2312" w:hAnsi="FZFangSong-Z02" w:eastAsia="仿宋_GB2312" w:cs="FZFangSong-Z02"/>
          <w:b/>
          <w:sz w:val="32"/>
          <w:szCs w:val="32"/>
        </w:rPr>
        <w:t>上缴上级支出：</w:t>
      </w:r>
      <w:r>
        <w:rPr>
          <w:rFonts w:hint="eastAsia" w:ascii="仿宋_GB2312" w:eastAsia="仿宋_GB2312"/>
          <w:sz w:val="32"/>
          <w:szCs w:val="32"/>
        </w:rPr>
        <w:t>指下级单位上缴上级的支出。</w:t>
      </w:r>
    </w:p>
    <w:p>
      <w:pPr>
        <w:pStyle w:val="13"/>
        <w:rPr>
          <w:rFonts w:ascii="仿宋_GB2312" w:hAnsi="FZFangSong-Z02" w:eastAsia="仿宋_GB2312" w:cs="FZFangSong-Z02"/>
          <w:sz w:val="32"/>
          <w:szCs w:val="32"/>
        </w:rPr>
      </w:pPr>
      <w:r>
        <w:rPr>
          <w:rFonts w:ascii="仿宋_GB2312" w:eastAsia="仿宋_GB2312"/>
          <w:b/>
          <w:bCs/>
          <w:sz w:val="32"/>
          <w:szCs w:val="32"/>
        </w:rPr>
        <w:t xml:space="preserve">    7</w:t>
      </w:r>
      <w:r>
        <w:rPr>
          <w:rFonts w:hint="eastAsia" w:ascii="仿宋_GB2312" w:hAnsi="FZFangSong-Z02" w:eastAsia="仿宋_GB2312" w:cs="FZFangSong-Z02"/>
          <w:sz w:val="32"/>
          <w:szCs w:val="32"/>
        </w:rPr>
        <w:t>、</w:t>
      </w:r>
      <w:r>
        <w:rPr>
          <w:rFonts w:hint="eastAsia" w:ascii="仿宋_GB2312" w:eastAsia="仿宋_GB2312"/>
          <w:b/>
          <w:bCs/>
          <w:sz w:val="32"/>
          <w:szCs w:val="32"/>
        </w:rPr>
        <w:t>“</w:t>
      </w:r>
      <w:r>
        <w:rPr>
          <w:rFonts w:hint="eastAsia" w:ascii="仿宋_GB2312" w:hAnsi="FZFangSong-Z02" w:eastAsia="仿宋_GB2312" w:cs="FZFangSong-Z02"/>
          <w:b/>
          <w:sz w:val="32"/>
          <w:szCs w:val="32"/>
        </w:rPr>
        <w:t>三公</w:t>
      </w:r>
      <w:r>
        <w:rPr>
          <w:rFonts w:hint="eastAsia" w:ascii="仿宋_GB2312" w:eastAsia="仿宋_GB2312"/>
          <w:b/>
          <w:bCs/>
          <w:sz w:val="32"/>
          <w:szCs w:val="32"/>
        </w:rPr>
        <w:t>”</w:t>
      </w:r>
      <w:r>
        <w:rPr>
          <w:rFonts w:hint="eastAsia" w:ascii="仿宋_GB2312" w:hAnsi="FZFangSong-Z02" w:eastAsia="仿宋_GB2312" w:cs="FZFangSong-Z02"/>
          <w:b/>
          <w:sz w:val="32"/>
          <w:szCs w:val="32"/>
        </w:rPr>
        <w:t>经费：</w:t>
      </w:r>
      <w:r>
        <w:rPr>
          <w:rFonts w:hint="eastAsia" w:ascii="仿宋_GB2312" w:hAnsi="FZFangSong-Z02" w:eastAsia="仿宋_GB2312" w:cs="FZFangSong-Z02"/>
          <w:sz w:val="32"/>
          <w:szCs w:val="32"/>
        </w:rPr>
        <w:t>纳入县级财政预算管理的</w:t>
      </w:r>
      <w:r>
        <w:rPr>
          <w:rFonts w:hint="eastAsia" w:ascii="仿宋_GB2312" w:eastAsia="仿宋_GB2312"/>
          <w:sz w:val="32"/>
          <w:szCs w:val="32"/>
        </w:rPr>
        <w:t>“</w:t>
      </w:r>
      <w:r>
        <w:rPr>
          <w:rFonts w:hint="eastAsia" w:ascii="仿宋_GB2312" w:hAnsi="FZFangSong-Z02" w:eastAsia="仿宋_GB2312" w:cs="FZFangSong-Z02"/>
          <w:sz w:val="32"/>
          <w:szCs w:val="32"/>
        </w:rPr>
        <w:t>三公</w:t>
      </w:r>
      <w:r>
        <w:rPr>
          <w:rFonts w:hint="eastAsia" w:ascii="仿宋_GB2312" w:eastAsia="仿宋_GB2312"/>
          <w:sz w:val="32"/>
          <w:szCs w:val="32"/>
        </w:rPr>
        <w:t>”</w:t>
      </w:r>
      <w:r>
        <w:rPr>
          <w:rFonts w:hint="eastAsia" w:ascii="仿宋_GB2312" w:hAnsi="FZFangSong-Z02" w:eastAsia="仿宋_GB2312" w:cs="FZFangSong-Z02"/>
          <w:sz w:val="32"/>
          <w:szCs w:val="32"/>
        </w:rPr>
        <w:t>经费，是指县级部门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pPr>
        <w:ind w:firstLine="660"/>
        <w:rPr>
          <w:rFonts w:ascii="仿宋_GB2312" w:eastAsia="仿宋_GB2312"/>
          <w:sz w:val="32"/>
          <w:szCs w:val="32"/>
        </w:rPr>
      </w:pPr>
      <w:r>
        <w:rPr>
          <w:rFonts w:ascii="仿宋_GB2312" w:eastAsia="仿宋_GB2312"/>
          <w:b/>
          <w:bCs/>
          <w:sz w:val="32"/>
          <w:szCs w:val="32"/>
        </w:rPr>
        <w:t>8</w:t>
      </w:r>
      <w:r>
        <w:rPr>
          <w:rFonts w:hint="eastAsia" w:ascii="仿宋_GB2312" w:hAnsi="FZFangSong-Z02" w:eastAsia="仿宋_GB2312" w:cs="FZFangSong-Z02"/>
          <w:sz w:val="32"/>
          <w:szCs w:val="32"/>
        </w:rPr>
        <w:t>、</w:t>
      </w:r>
      <w:r>
        <w:rPr>
          <w:rFonts w:hint="eastAsia" w:ascii="仿宋_GB2312" w:hAnsi="FZFangSong-Z02" w:eastAsia="仿宋_GB2312" w:cs="FZFangSong-Z02"/>
          <w:b/>
          <w:sz w:val="32"/>
          <w:szCs w:val="32"/>
        </w:rPr>
        <w:t>机关运行费：</w:t>
      </w:r>
      <w:r>
        <w:rPr>
          <w:rFonts w:hint="eastAsia" w:ascii="仿宋_GB2312" w:hAnsi="FZFangSong-Z02" w:eastAsia="仿宋_GB2312" w:cs="FZFangSong-Z02"/>
          <w:sz w:val="32"/>
          <w:szCs w:val="32"/>
        </w:rPr>
        <w:t>为保障全部单位运行用于购买货物和服务的各项资金，包括办公及印刷费、邮电费、差旅费、会议费、福利费、日常维修费、专用材料及一般设备购置费、办公用房水电费、办公用房取暖费、办公用房物业管理费、公务用车运行维护费以及</w:t>
      </w:r>
      <w:r>
        <w:rPr>
          <w:rFonts w:hint="eastAsia" w:ascii="仿宋_GB2312" w:eastAsia="仿宋_GB2312"/>
          <w:sz w:val="32"/>
          <w:szCs w:val="32"/>
        </w:rPr>
        <w:t>其他费用。</w:t>
      </w:r>
    </w:p>
    <w:p>
      <w:pPr>
        <w:ind w:firstLine="660"/>
        <w:rPr>
          <w:rFonts w:ascii="仿宋_GB2312" w:eastAsia="仿宋_GB2312"/>
          <w:sz w:val="32"/>
          <w:szCs w:val="32"/>
        </w:rPr>
      </w:pPr>
      <w:r>
        <w:rPr>
          <w:rFonts w:ascii="仿宋_GB2312" w:eastAsia="仿宋_GB2312"/>
          <w:b/>
          <w:sz w:val="32"/>
          <w:szCs w:val="32"/>
        </w:rPr>
        <w:t>9</w:t>
      </w:r>
      <w:r>
        <w:rPr>
          <w:rFonts w:hint="eastAsia" w:ascii="仿宋_GB2312" w:eastAsia="仿宋_GB2312"/>
          <w:b/>
          <w:sz w:val="32"/>
          <w:szCs w:val="32"/>
        </w:rPr>
        <w:t>、上年结转：</w:t>
      </w:r>
      <w:r>
        <w:rPr>
          <w:rFonts w:hint="eastAsia" w:ascii="仿宋_GB2312" w:eastAsia="仿宋_GB2312"/>
          <w:sz w:val="32"/>
          <w:szCs w:val="32"/>
        </w:rPr>
        <w:t>指以前年度尚未完成、结转到本年仍按原规定用途继续使用的资金。</w:t>
      </w:r>
    </w:p>
    <w:p>
      <w:pPr>
        <w:ind w:firstLine="660"/>
        <w:rPr>
          <w:rFonts w:ascii="仿宋_GB2312" w:hAnsi="FZFangSong-Z02" w:eastAsia="仿宋_GB2312" w:cs="FZFangSong-Z02"/>
          <w:sz w:val="32"/>
          <w:szCs w:val="32"/>
        </w:rPr>
      </w:pPr>
      <w:r>
        <w:rPr>
          <w:rFonts w:ascii="仿宋_GB2312" w:eastAsia="仿宋_GB2312"/>
          <w:b/>
          <w:sz w:val="32"/>
          <w:szCs w:val="32"/>
        </w:rPr>
        <w:t>10</w:t>
      </w:r>
      <w:r>
        <w:rPr>
          <w:rFonts w:hint="eastAsia" w:ascii="仿宋_GB2312" w:eastAsia="仿宋_GB2312"/>
          <w:b/>
          <w:sz w:val="32"/>
          <w:szCs w:val="32"/>
        </w:rPr>
        <w:t>、事业单位经营支出：</w:t>
      </w:r>
      <w:r>
        <w:rPr>
          <w:rFonts w:hint="eastAsia" w:ascii="仿宋_GB2312" w:eastAsia="仿宋_GB2312"/>
          <w:sz w:val="32"/>
          <w:szCs w:val="32"/>
        </w:rPr>
        <w:t>指事业单位在专业业务活动及其辅助活动之外开展非独立核算经营活动发生的支出。</w:t>
      </w:r>
    </w:p>
    <w:p>
      <w:pPr>
        <w:tabs>
          <w:tab w:val="left" w:pos="11490"/>
        </w:tabs>
        <w:ind w:firstLine="640" w:firstLineChars="200"/>
        <w:rPr>
          <w:rFonts w:ascii="黑体" w:hAnsi="黑体" w:eastAsia="黑体"/>
          <w:sz w:val="32"/>
          <w:szCs w:val="32"/>
        </w:rPr>
      </w:pPr>
      <w:r>
        <w:rPr>
          <w:rFonts w:hint="eastAsia" w:ascii="黑体" w:hAnsi="黑体" w:eastAsia="黑体"/>
          <w:sz w:val="32"/>
          <w:szCs w:val="32"/>
        </w:rPr>
        <w:t>九、其它需要说明的事项</w:t>
      </w:r>
    </w:p>
    <w:p>
      <w:pPr>
        <w:tabs>
          <w:tab w:val="left" w:pos="11490"/>
        </w:tabs>
        <w:ind w:firstLine="640" w:firstLineChars="200"/>
        <w:rPr>
          <w:rFonts w:ascii="仿宋_GB2312" w:hAnsi="FZFangSong-Z02" w:eastAsia="仿宋_GB2312" w:cs="FZFangSong-Z02"/>
          <w:sz w:val="32"/>
          <w:szCs w:val="32"/>
        </w:rPr>
      </w:pPr>
      <w:r>
        <w:rPr>
          <w:rFonts w:hint="eastAsia" w:ascii="仿宋_GB2312" w:hAnsi="FZFangSong-Z02" w:eastAsia="仿宋_GB2312" w:cs="FZFangSong-Z02"/>
          <w:sz w:val="32"/>
          <w:szCs w:val="32"/>
        </w:rPr>
        <w:t>无其它需要说明的事项。</w:t>
      </w:r>
    </w:p>
    <w:sectPr>
      <w:headerReference r:id="rId3" w:type="default"/>
      <w:footerReference r:id="rId4" w:type="default"/>
      <w:footerReference r:id="rId5" w:type="even"/>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等线">
    <w:altName w:val="华文中宋"/>
    <w:panose1 w:val="02010600030101010101"/>
    <w:charset w:val="86"/>
    <w:family w:val="auto"/>
    <w:pitch w:val="default"/>
    <w:sig w:usb0="00000000" w:usb1="00000000" w:usb2="00000016" w:usb3="00000000" w:csb0="0004000F" w:csb1="00000000"/>
  </w:font>
  <w:font w:name="华文中宋">
    <w:panose1 w:val="02010600040101010101"/>
    <w:charset w:val="86"/>
    <w:family w:val="auto"/>
    <w:pitch w:val="default"/>
    <w:sig w:usb0="00000287" w:usb1="080F0000" w:usb2="00000000" w:usb3="00000000" w:csb0="0004009F" w:csb1="DFD70000"/>
  </w:font>
  <w:font w:name="方正小标宋简体">
    <w:panose1 w:val="02000000000000000000"/>
    <w:charset w:val="86"/>
    <w:family w:val="script"/>
    <w:pitch w:val="default"/>
    <w:sig w:usb0="A00002BF" w:usb1="184F6CFA" w:usb2="00000012" w:usb3="00000000" w:csb0="00040001" w:csb1="00000000"/>
  </w:font>
  <w:font w:name="仿宋_GB2312">
    <w:altName w:val="方正仿宋_GBK"/>
    <w:panose1 w:val="02010609030101010101"/>
    <w:charset w:val="86"/>
    <w:family w:val="modern"/>
    <w:pitch w:val="default"/>
    <w:sig w:usb0="00000000" w:usb1="00000000" w:usb2="00000010" w:usb3="00000000" w:csb0="00040000" w:csb1="00000000"/>
  </w:font>
  <w:font w:name="方正仿宋_GBK">
    <w:panose1 w:val="02000000000000000000"/>
    <w:charset w:val="86"/>
    <w:family w:val="auto"/>
    <w:pitch w:val="default"/>
    <w:sig w:usb0="00000001" w:usb1="08000000" w:usb2="00000000" w:usb3="00000000" w:csb0="00040000" w:csb1="00000000"/>
  </w:font>
  <w:font w:name="微软雅黑">
    <w:altName w:val="方正黑体_GBK"/>
    <w:panose1 w:val="020B0503020204020204"/>
    <w:charset w:val="86"/>
    <w:family w:val="auto"/>
    <w:pitch w:val="default"/>
    <w:sig w:usb0="00000000" w:usb1="00000000" w:usb2="00000016" w:usb3="00000000" w:csb0="0004001F" w:csb1="00000000"/>
  </w:font>
  <w:font w:name="方正黑体_GBK">
    <w:panose1 w:val="02000000000000000000"/>
    <w:charset w:val="86"/>
    <w:family w:val="auto"/>
    <w:pitch w:val="default"/>
    <w:sig w:usb0="A00002BF" w:usb1="38CF7CFA" w:usb2="00082016" w:usb3="00000000" w:csb0="00040001" w:csb1="00000000"/>
  </w:font>
  <w:font w:name="楷体_GB2312">
    <w:altName w:val="方正楷体_GBK"/>
    <w:panose1 w:val="02010609030101010101"/>
    <w:charset w:val="86"/>
    <w:family w:val="modern"/>
    <w:pitch w:val="default"/>
    <w:sig w:usb0="00000000" w:usb1="00000000" w:usb2="00000010" w:usb3="00000000" w:csb0="00040000" w:csb1="00000000"/>
  </w:font>
  <w:font w:name="方正楷体_GBK">
    <w:panose1 w:val="02000000000000000000"/>
    <w:charset w:val="86"/>
    <w:family w:val="auto"/>
    <w:pitch w:val="default"/>
    <w:sig w:usb0="00000001" w:usb1="08000000" w:usb2="00000000" w:usb3="00000000" w:csb0="00040000" w:csb1="00000000"/>
  </w:font>
  <w:font w:name="仿宋">
    <w:altName w:val="方正仿宋_GBK"/>
    <w:panose1 w:val="02010609060101010101"/>
    <w:charset w:val="86"/>
    <w:family w:val="auto"/>
    <w:pitch w:val="default"/>
    <w:sig w:usb0="00000000" w:usb1="00000000" w:usb2="00000016" w:usb3="00000000" w:csb0="00040001" w:csb1="00000000"/>
  </w:font>
  <w:font w:name="方正小标宋_GBK">
    <w:panose1 w:val="02000000000000000000"/>
    <w:charset w:val="86"/>
    <w:family w:val="script"/>
    <w:pitch w:val="default"/>
    <w:sig w:usb0="A00002BF" w:usb1="38CF7CFA" w:usb2="00082016" w:usb3="00000000" w:csb0="00040001" w:csb1="00000000"/>
  </w:font>
  <w:font w:name="DengXian-Regular">
    <w:altName w:val="华文中宋"/>
    <w:panose1 w:val="00000000000000000000"/>
    <w:charset w:val="86"/>
    <w:family w:val="auto"/>
    <w:pitch w:val="default"/>
    <w:sig w:usb0="00000000" w:usb1="00000000" w:usb2="00000010" w:usb3="00000000" w:csb0="00040001" w:csb1="00000000"/>
  </w:font>
  <w:font w:name="FZFangSong-Z02">
    <w:panose1 w:val="02000000000000000000"/>
    <w:charset w:val="86"/>
    <w:family w:val="swiss"/>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9"/>
      </w:rPr>
    </w:pPr>
    <w:r>
      <w:rPr>
        <w:rStyle w:val="9"/>
      </w:rPr>
      <w:fldChar w:fldCharType="begin"/>
    </w:r>
    <w:r>
      <w:rPr>
        <w:rStyle w:val="9"/>
      </w:rPr>
      <w:instrText xml:space="preserve">PAGE  </w:instrText>
    </w:r>
    <w:r>
      <w:rPr>
        <w:rStyle w:val="9"/>
      </w:rPr>
      <w:fldChar w:fldCharType="separate"/>
    </w:r>
    <w:r>
      <w:rPr>
        <w:rStyle w:val="9"/>
      </w:rPr>
      <w:t>6</w:t>
    </w:r>
    <w:r>
      <w:rPr>
        <w:rStyle w:val="9"/>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9"/>
      </w:rPr>
    </w:pPr>
    <w:r>
      <w:rPr>
        <w:rStyle w:val="9"/>
      </w:rPr>
      <w:fldChar w:fldCharType="begin"/>
    </w:r>
    <w:r>
      <w:rPr>
        <w:rStyle w:val="9"/>
      </w:rPr>
      <w:instrText xml:space="preserve">PAGE  </w:instrText>
    </w:r>
    <w:r>
      <w:rPr>
        <w:rStyle w:val="9"/>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OTMxNmRkOTg1NjgyMDFlNTkyZGUyMDNlMzJhODc2ZDMifQ=="/>
  </w:docVars>
  <w:rsids>
    <w:rsidRoot w:val="00F66032"/>
    <w:rsid w:val="000009C0"/>
    <w:rsid w:val="00011B98"/>
    <w:rsid w:val="00012028"/>
    <w:rsid w:val="00037AF6"/>
    <w:rsid w:val="0004105F"/>
    <w:rsid w:val="00045A61"/>
    <w:rsid w:val="00055D09"/>
    <w:rsid w:val="000643A0"/>
    <w:rsid w:val="00075D5F"/>
    <w:rsid w:val="00090CC7"/>
    <w:rsid w:val="000C3A19"/>
    <w:rsid w:val="000C7ED3"/>
    <w:rsid w:val="000D740D"/>
    <w:rsid w:val="001245BB"/>
    <w:rsid w:val="001475F8"/>
    <w:rsid w:val="001643B9"/>
    <w:rsid w:val="0018319E"/>
    <w:rsid w:val="0018479D"/>
    <w:rsid w:val="00191C4F"/>
    <w:rsid w:val="001A7107"/>
    <w:rsid w:val="00202550"/>
    <w:rsid w:val="00204C18"/>
    <w:rsid w:val="00223B7F"/>
    <w:rsid w:val="00241FD4"/>
    <w:rsid w:val="00251B12"/>
    <w:rsid w:val="002645FB"/>
    <w:rsid w:val="0027107B"/>
    <w:rsid w:val="00287688"/>
    <w:rsid w:val="00296113"/>
    <w:rsid w:val="002A215D"/>
    <w:rsid w:val="002F3E58"/>
    <w:rsid w:val="002F5D2E"/>
    <w:rsid w:val="0030542C"/>
    <w:rsid w:val="00311B7A"/>
    <w:rsid w:val="0033745F"/>
    <w:rsid w:val="003506A9"/>
    <w:rsid w:val="00356B6A"/>
    <w:rsid w:val="0036462A"/>
    <w:rsid w:val="00365877"/>
    <w:rsid w:val="00382C7D"/>
    <w:rsid w:val="00387684"/>
    <w:rsid w:val="00395694"/>
    <w:rsid w:val="003B127F"/>
    <w:rsid w:val="003E1A7F"/>
    <w:rsid w:val="003E52B7"/>
    <w:rsid w:val="00451871"/>
    <w:rsid w:val="00470B77"/>
    <w:rsid w:val="00472228"/>
    <w:rsid w:val="00472923"/>
    <w:rsid w:val="00473FC3"/>
    <w:rsid w:val="00491DA9"/>
    <w:rsid w:val="004B0AE4"/>
    <w:rsid w:val="004E3066"/>
    <w:rsid w:val="004E74CD"/>
    <w:rsid w:val="00517933"/>
    <w:rsid w:val="0052680D"/>
    <w:rsid w:val="00561C0D"/>
    <w:rsid w:val="00565030"/>
    <w:rsid w:val="0057085D"/>
    <w:rsid w:val="00573562"/>
    <w:rsid w:val="00590472"/>
    <w:rsid w:val="005C30CA"/>
    <w:rsid w:val="005D6C62"/>
    <w:rsid w:val="005D77B1"/>
    <w:rsid w:val="005E3707"/>
    <w:rsid w:val="00601BCB"/>
    <w:rsid w:val="00614A29"/>
    <w:rsid w:val="0064629C"/>
    <w:rsid w:val="006502A4"/>
    <w:rsid w:val="0065409C"/>
    <w:rsid w:val="00654AE4"/>
    <w:rsid w:val="00681047"/>
    <w:rsid w:val="00690D11"/>
    <w:rsid w:val="006918CE"/>
    <w:rsid w:val="006A1C7F"/>
    <w:rsid w:val="006A3647"/>
    <w:rsid w:val="006D6E31"/>
    <w:rsid w:val="006D7856"/>
    <w:rsid w:val="007147DC"/>
    <w:rsid w:val="00720B22"/>
    <w:rsid w:val="007213DB"/>
    <w:rsid w:val="00747AD0"/>
    <w:rsid w:val="0075393C"/>
    <w:rsid w:val="00764186"/>
    <w:rsid w:val="007722EB"/>
    <w:rsid w:val="007757A1"/>
    <w:rsid w:val="00776C08"/>
    <w:rsid w:val="00777727"/>
    <w:rsid w:val="00777B11"/>
    <w:rsid w:val="007802CD"/>
    <w:rsid w:val="007B169E"/>
    <w:rsid w:val="007B4EE0"/>
    <w:rsid w:val="007C2346"/>
    <w:rsid w:val="007D1AD0"/>
    <w:rsid w:val="007E1DA8"/>
    <w:rsid w:val="007E35BD"/>
    <w:rsid w:val="007F6C26"/>
    <w:rsid w:val="00801227"/>
    <w:rsid w:val="00823FBB"/>
    <w:rsid w:val="00824B50"/>
    <w:rsid w:val="008277C9"/>
    <w:rsid w:val="00831286"/>
    <w:rsid w:val="008334AE"/>
    <w:rsid w:val="00836FED"/>
    <w:rsid w:val="00843206"/>
    <w:rsid w:val="008436CE"/>
    <w:rsid w:val="00845CD2"/>
    <w:rsid w:val="008502D8"/>
    <w:rsid w:val="00852848"/>
    <w:rsid w:val="00852B0D"/>
    <w:rsid w:val="008744F3"/>
    <w:rsid w:val="00881692"/>
    <w:rsid w:val="0088204A"/>
    <w:rsid w:val="008874DC"/>
    <w:rsid w:val="008B3CC5"/>
    <w:rsid w:val="008B547F"/>
    <w:rsid w:val="008C0CF1"/>
    <w:rsid w:val="008C2BAF"/>
    <w:rsid w:val="008C4C74"/>
    <w:rsid w:val="008D2A58"/>
    <w:rsid w:val="008E4261"/>
    <w:rsid w:val="008E4EA0"/>
    <w:rsid w:val="008F4662"/>
    <w:rsid w:val="00903921"/>
    <w:rsid w:val="00905779"/>
    <w:rsid w:val="00905D08"/>
    <w:rsid w:val="009172C3"/>
    <w:rsid w:val="00925753"/>
    <w:rsid w:val="00927086"/>
    <w:rsid w:val="00945677"/>
    <w:rsid w:val="00952E5C"/>
    <w:rsid w:val="009639A8"/>
    <w:rsid w:val="00966C5C"/>
    <w:rsid w:val="00971BF2"/>
    <w:rsid w:val="00973104"/>
    <w:rsid w:val="009834A3"/>
    <w:rsid w:val="0098798C"/>
    <w:rsid w:val="009C2FFE"/>
    <w:rsid w:val="009C3C6B"/>
    <w:rsid w:val="009E29DA"/>
    <w:rsid w:val="00A02E57"/>
    <w:rsid w:val="00A1176E"/>
    <w:rsid w:val="00A219EC"/>
    <w:rsid w:val="00A24351"/>
    <w:rsid w:val="00A668FE"/>
    <w:rsid w:val="00A72D2E"/>
    <w:rsid w:val="00A911E7"/>
    <w:rsid w:val="00A939D9"/>
    <w:rsid w:val="00AA0CB6"/>
    <w:rsid w:val="00AA1E38"/>
    <w:rsid w:val="00AB1409"/>
    <w:rsid w:val="00AC63B4"/>
    <w:rsid w:val="00AF04F9"/>
    <w:rsid w:val="00AF2963"/>
    <w:rsid w:val="00B03DA5"/>
    <w:rsid w:val="00B20712"/>
    <w:rsid w:val="00B218B0"/>
    <w:rsid w:val="00B31EA1"/>
    <w:rsid w:val="00B43238"/>
    <w:rsid w:val="00B75216"/>
    <w:rsid w:val="00B91D52"/>
    <w:rsid w:val="00B94743"/>
    <w:rsid w:val="00BA1ACD"/>
    <w:rsid w:val="00BC681B"/>
    <w:rsid w:val="00BD16FC"/>
    <w:rsid w:val="00BF7510"/>
    <w:rsid w:val="00C0314C"/>
    <w:rsid w:val="00C033B6"/>
    <w:rsid w:val="00C05966"/>
    <w:rsid w:val="00C304D0"/>
    <w:rsid w:val="00C31B33"/>
    <w:rsid w:val="00C36C99"/>
    <w:rsid w:val="00C5590F"/>
    <w:rsid w:val="00C66D84"/>
    <w:rsid w:val="00C711B8"/>
    <w:rsid w:val="00C75742"/>
    <w:rsid w:val="00C86F65"/>
    <w:rsid w:val="00CA7176"/>
    <w:rsid w:val="00CC0A13"/>
    <w:rsid w:val="00CC2752"/>
    <w:rsid w:val="00CC59CF"/>
    <w:rsid w:val="00CD2773"/>
    <w:rsid w:val="00CE143B"/>
    <w:rsid w:val="00CE5555"/>
    <w:rsid w:val="00CE6D5A"/>
    <w:rsid w:val="00D0782A"/>
    <w:rsid w:val="00D431AA"/>
    <w:rsid w:val="00D63054"/>
    <w:rsid w:val="00D64099"/>
    <w:rsid w:val="00DA2890"/>
    <w:rsid w:val="00E011AE"/>
    <w:rsid w:val="00E167C7"/>
    <w:rsid w:val="00E36C7E"/>
    <w:rsid w:val="00E4761C"/>
    <w:rsid w:val="00E51292"/>
    <w:rsid w:val="00E55DEF"/>
    <w:rsid w:val="00E6736C"/>
    <w:rsid w:val="00E719E1"/>
    <w:rsid w:val="00E76778"/>
    <w:rsid w:val="00E80BC6"/>
    <w:rsid w:val="00EC270F"/>
    <w:rsid w:val="00EC47F6"/>
    <w:rsid w:val="00ED5B74"/>
    <w:rsid w:val="00ED7F15"/>
    <w:rsid w:val="00EE1B43"/>
    <w:rsid w:val="00EE5F12"/>
    <w:rsid w:val="00EF0C57"/>
    <w:rsid w:val="00EF441B"/>
    <w:rsid w:val="00EF53CB"/>
    <w:rsid w:val="00F0303A"/>
    <w:rsid w:val="00F153EF"/>
    <w:rsid w:val="00F17574"/>
    <w:rsid w:val="00F25F80"/>
    <w:rsid w:val="00F66032"/>
    <w:rsid w:val="00F715AB"/>
    <w:rsid w:val="00F86385"/>
    <w:rsid w:val="00F86D57"/>
    <w:rsid w:val="00F958C2"/>
    <w:rsid w:val="00F95A44"/>
    <w:rsid w:val="00FA05F2"/>
    <w:rsid w:val="00FB5414"/>
    <w:rsid w:val="00FD2A23"/>
    <w:rsid w:val="00FF3F1E"/>
    <w:rsid w:val="00FF5CBE"/>
    <w:rsid w:val="1FB9318B"/>
    <w:rsid w:val="275F6FC7"/>
    <w:rsid w:val="2F113A63"/>
    <w:rsid w:val="3AB17AC1"/>
    <w:rsid w:val="43754256"/>
    <w:rsid w:val="56993CA1"/>
    <w:rsid w:val="63582EF6"/>
    <w:rsid w:val="6B3E73AF"/>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等线" w:hAnsi="等线" w:eastAsia="等线"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nhideWhenUsed="0" w:uiPriority="99" w:semiHidden="0" w:name="toc 2"/>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8">
    <w:name w:val="Default Paragraph Font"/>
    <w:semiHidden/>
    <w:qFormat/>
    <w:uiPriority w:val="99"/>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2"/>
    <w:semiHidden/>
    <w:qFormat/>
    <w:uiPriority w:val="99"/>
    <w:rPr>
      <w:sz w:val="18"/>
      <w:szCs w:val="18"/>
    </w:rPr>
  </w:style>
  <w:style w:type="paragraph" w:styleId="3">
    <w:name w:val="footer"/>
    <w:basedOn w:val="1"/>
    <w:link w:val="11"/>
    <w:qFormat/>
    <w:uiPriority w:val="99"/>
    <w:pPr>
      <w:tabs>
        <w:tab w:val="center" w:pos="4153"/>
        <w:tab w:val="right" w:pos="8306"/>
      </w:tabs>
      <w:snapToGrid w:val="0"/>
      <w:jc w:val="left"/>
    </w:pPr>
    <w:rPr>
      <w:rFonts w:ascii="Times New Roman" w:hAnsi="Times New Roman"/>
      <w:sz w:val="18"/>
      <w:szCs w:val="18"/>
    </w:rPr>
  </w:style>
  <w:style w:type="paragraph" w:styleId="4">
    <w:name w:val="header"/>
    <w:basedOn w:val="1"/>
    <w:link w:val="10"/>
    <w:uiPriority w:val="99"/>
    <w:pPr>
      <w:pBdr>
        <w:bottom w:val="single" w:color="auto" w:sz="6" w:space="1"/>
      </w:pBdr>
      <w:tabs>
        <w:tab w:val="center" w:pos="4153"/>
        <w:tab w:val="right" w:pos="8306"/>
      </w:tabs>
      <w:snapToGrid w:val="0"/>
      <w:jc w:val="center"/>
    </w:pPr>
    <w:rPr>
      <w:rFonts w:ascii="Times New Roman" w:hAnsi="Times New Roman"/>
      <w:sz w:val="18"/>
      <w:szCs w:val="18"/>
    </w:rPr>
  </w:style>
  <w:style w:type="paragraph" w:styleId="5">
    <w:name w:val="toc 1"/>
    <w:basedOn w:val="1"/>
    <w:next w:val="1"/>
    <w:qFormat/>
    <w:uiPriority w:val="99"/>
    <w:rPr>
      <w:rFonts w:ascii="Times New Roman" w:hAnsi="Times New Roman"/>
      <w:szCs w:val="24"/>
    </w:rPr>
  </w:style>
  <w:style w:type="paragraph" w:styleId="6">
    <w:name w:val="toc 2"/>
    <w:basedOn w:val="1"/>
    <w:next w:val="1"/>
    <w:qFormat/>
    <w:uiPriority w:val="99"/>
    <w:pPr>
      <w:ind w:left="420" w:leftChars="200"/>
    </w:pPr>
    <w:rPr>
      <w:rFonts w:ascii="Times New Roman" w:hAnsi="Times New Roman"/>
      <w:szCs w:val="24"/>
    </w:rPr>
  </w:style>
  <w:style w:type="character" w:styleId="9">
    <w:name w:val="page number"/>
    <w:basedOn w:val="8"/>
    <w:uiPriority w:val="99"/>
    <w:rPr>
      <w:rFonts w:cs="Times New Roman"/>
    </w:rPr>
  </w:style>
  <w:style w:type="character" w:customStyle="1" w:styleId="10">
    <w:name w:val="Header Char"/>
    <w:basedOn w:val="8"/>
    <w:link w:val="4"/>
    <w:qFormat/>
    <w:locked/>
    <w:uiPriority w:val="99"/>
    <w:rPr>
      <w:rFonts w:ascii="Times New Roman" w:hAnsi="Times New Roman" w:eastAsia="宋体" w:cs="Times New Roman"/>
      <w:sz w:val="18"/>
      <w:szCs w:val="18"/>
    </w:rPr>
  </w:style>
  <w:style w:type="character" w:customStyle="1" w:styleId="11">
    <w:name w:val="Footer Char"/>
    <w:basedOn w:val="8"/>
    <w:link w:val="3"/>
    <w:qFormat/>
    <w:locked/>
    <w:uiPriority w:val="99"/>
    <w:rPr>
      <w:rFonts w:ascii="Times New Roman" w:hAnsi="Times New Roman" w:eastAsia="宋体" w:cs="Times New Roman"/>
      <w:sz w:val="18"/>
      <w:szCs w:val="18"/>
    </w:rPr>
  </w:style>
  <w:style w:type="character" w:customStyle="1" w:styleId="12">
    <w:name w:val="Balloon Text Char"/>
    <w:basedOn w:val="8"/>
    <w:link w:val="2"/>
    <w:semiHidden/>
    <w:qFormat/>
    <w:locked/>
    <w:uiPriority w:val="99"/>
    <w:rPr>
      <w:rFonts w:cs="Times New Roman"/>
      <w:sz w:val="18"/>
      <w:szCs w:val="18"/>
    </w:rPr>
  </w:style>
  <w:style w:type="paragraph" w:customStyle="1" w:styleId="13">
    <w:name w:val="Default"/>
    <w:qFormat/>
    <w:uiPriority w:val="99"/>
    <w:pPr>
      <w:widowControl w:val="0"/>
      <w:autoSpaceDE w:val="0"/>
      <w:autoSpaceDN w:val="0"/>
      <w:adjustRightInd w:val="0"/>
    </w:pPr>
    <w:rPr>
      <w:rFonts w:ascii="Times New Roman" w:hAnsi="Times New Roman" w:eastAsia="宋体" w:cs="Times New Roman"/>
      <w:color w:val="000000"/>
      <w:kern w:val="0"/>
      <w:sz w:val="24"/>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Normal_Wordconv.dotm</Template>
  <Company>Microsoft</Company>
  <Pages>11</Pages>
  <Words>3902</Words>
  <Characters>4074</Characters>
  <Lines>0</Lines>
  <Paragraphs>0</Paragraphs>
  <TotalTime>1</TotalTime>
  <ScaleCrop>false</ScaleCrop>
  <LinksUpToDate>false</LinksUpToDate>
  <CharactersWithSpaces>4113</CharactersWithSpaces>
  <Application>WPS Office_11.8.2.1132_F1E327BC-269C-435d-A152-05C5408002CA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2017-10-26T14:45:00Z</dcterms:created>
  <dc:creator>guest</dc:creator>
  <cp:lastModifiedBy>uos05</cp:lastModifiedBy>
  <cp:lastPrinted>2017-05-13T18:45:00Z</cp:lastPrinted>
  <dcterms:modified xsi:type="dcterms:W3CDTF">2024-11-01T15:43:49Z</dcterms:modified>
  <cp:revision>68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2052-11.8.2.1132</vt:lpwstr>
  </property>
  <property fmtid="{D5CDD505-2E9C-101B-9397-08002B2CF9AE}" pid="3" name="ICV">
    <vt:lpwstr>79B114F08286431FAC28589F968DECD2</vt:lpwstr>
  </property>
</Properties>
</file>