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CB4621">
      <w:pPr>
        <w:spacing w:line="584" w:lineRule="exact"/>
        <w:jc w:val="center"/>
        <w:rPr>
          <w:rFonts w:ascii="Times New Roman" w:hAnsi="Times New Roman" w:eastAsia="方正小标宋简体" w:cs="Times New Roman"/>
          <w:sz w:val="44"/>
          <w:szCs w:val="44"/>
        </w:rPr>
      </w:pPr>
      <w:bookmarkStart w:id="2" w:name="_GoBack"/>
      <w:r>
        <w:rPr>
          <w:rFonts w:ascii="Times New Roman" w:hAnsi="Times New Roman" w:eastAsia="方正小标宋简体" w:cs="Times New Roman"/>
          <w:sz w:val="44"/>
          <w:szCs w:val="44"/>
        </w:rPr>
        <w:t>永清县</w:t>
      </w:r>
      <w:r>
        <w:rPr>
          <w:rFonts w:hint="eastAsia" w:ascii="Times New Roman" w:hAnsi="Times New Roman" w:eastAsia="方正小标宋简体" w:cs="Times New Roman"/>
          <w:sz w:val="44"/>
          <w:szCs w:val="44"/>
          <w:lang w:eastAsia="zh-CN"/>
        </w:rPr>
        <w:t>总工会</w:t>
      </w:r>
      <w:r>
        <w:rPr>
          <w:rFonts w:ascii="Times New Roman" w:hAnsi="Times New Roman" w:eastAsia="方正小标宋简体" w:cs="Times New Roman"/>
          <w:sz w:val="44"/>
          <w:szCs w:val="44"/>
        </w:rPr>
        <w:t>2023年部门预算信息公开</w:t>
      </w:r>
      <w:r>
        <w:rPr>
          <w:rFonts w:hint="eastAsia" w:ascii="Times New Roman" w:hAnsi="Times New Roman" w:eastAsia="方正小标宋简体" w:cs="Times New Roman"/>
          <w:sz w:val="44"/>
          <w:szCs w:val="44"/>
        </w:rPr>
        <w:t>情况说明</w:t>
      </w:r>
    </w:p>
    <w:bookmarkEnd w:id="2"/>
    <w:p w14:paraId="235BC0AB">
      <w:pPr>
        <w:spacing w:line="584" w:lineRule="exact"/>
        <w:ind w:firstLine="880" w:firstLineChars="200"/>
        <w:jc w:val="center"/>
        <w:rPr>
          <w:rFonts w:ascii="Times New Roman" w:hAnsi="Times New Roman" w:eastAsia="仿宋_GB2312" w:cs="Times New Roman"/>
          <w:sz w:val="44"/>
          <w:szCs w:val="44"/>
        </w:rPr>
      </w:pPr>
    </w:p>
    <w:p w14:paraId="3489820C">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按照《中华人民共和国预算法》、《中华人民共和国预算法实施条例》、《地方预决算公开操作规程》和《河北省省级预算公开办法》规定，现将永清县</w:t>
      </w:r>
      <w:r>
        <w:rPr>
          <w:rFonts w:hint="eastAsia" w:ascii="Times New Roman" w:hAnsi="Times New Roman" w:eastAsia="仿宋_GB2312" w:cs="Times New Roman"/>
          <w:sz w:val="32"/>
          <w:szCs w:val="32"/>
          <w:lang w:eastAsia="zh-CN"/>
        </w:rPr>
        <w:t>总工会</w:t>
      </w:r>
      <w:r>
        <w:rPr>
          <w:rFonts w:ascii="Times New Roman" w:hAnsi="Times New Roman" w:eastAsia="仿宋_GB2312" w:cs="Times New Roman"/>
          <w:sz w:val="32"/>
          <w:szCs w:val="32"/>
        </w:rPr>
        <w:t>2023年部门预算公开如下：</w:t>
      </w:r>
    </w:p>
    <w:p w14:paraId="07EE7A86">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一、部门职责及机构设置情况</w:t>
      </w:r>
    </w:p>
    <w:p w14:paraId="0271F421">
      <w:pPr>
        <w:spacing w:line="584" w:lineRule="exact"/>
        <w:ind w:firstLine="643" w:firstLineChars="20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14:paraId="4F6E858C">
      <w:pPr>
        <w:autoSpaceDE w:val="0"/>
        <w:autoSpaceDN w:val="0"/>
        <w:adjustRightInd w:val="0"/>
        <w:ind w:left="640"/>
        <w:rPr>
          <w:rFonts w:ascii="仿宋_GB2312" w:eastAsia="仿宋_GB2312" w:cs="Times New Roman"/>
          <w:bCs/>
          <w:sz w:val="32"/>
          <w:szCs w:val="32"/>
        </w:rPr>
      </w:pPr>
      <w:r>
        <w:rPr>
          <w:rFonts w:hint="eastAsia" w:ascii="仿宋_GB2312" w:eastAsia="仿宋_GB2312"/>
          <w:bCs/>
          <w:sz w:val="32"/>
          <w:szCs w:val="32"/>
        </w:rPr>
        <w:t>1、</w:t>
      </w:r>
      <w:r>
        <w:rPr>
          <w:rFonts w:hint="eastAsia" w:ascii="仿宋_GB2312" w:eastAsia="仿宋_GB2312" w:cs="Times New Roman"/>
          <w:bCs/>
          <w:sz w:val="32"/>
          <w:szCs w:val="32"/>
        </w:rPr>
        <w:t>抓好厂务公开、集体合同、工资集体协商、经济技术创新工作。</w:t>
      </w:r>
    </w:p>
    <w:p w14:paraId="52FFAB4E">
      <w:pPr>
        <w:autoSpaceDE w:val="0"/>
        <w:autoSpaceDN w:val="0"/>
        <w:adjustRightInd w:val="0"/>
        <w:ind w:left="640"/>
        <w:rPr>
          <w:rFonts w:ascii="仿宋_GB2312" w:eastAsia="仿宋_GB2312" w:cs="Times New Roman"/>
          <w:bCs/>
          <w:sz w:val="32"/>
          <w:szCs w:val="32"/>
        </w:rPr>
      </w:pPr>
      <w:r>
        <w:rPr>
          <w:rFonts w:hint="eastAsia" w:ascii="仿宋_GB2312" w:eastAsia="仿宋_GB2312"/>
          <w:bCs/>
          <w:sz w:val="32"/>
          <w:szCs w:val="32"/>
        </w:rPr>
        <w:t>2、</w:t>
      </w:r>
      <w:r>
        <w:rPr>
          <w:rFonts w:hint="eastAsia" w:ascii="仿宋_GB2312" w:eastAsia="仿宋_GB2312" w:cs="Times New Roman"/>
          <w:bCs/>
          <w:sz w:val="32"/>
          <w:szCs w:val="32"/>
        </w:rPr>
        <w:t>负责全县各级工会经费收缴和工会经费审查工作。</w:t>
      </w:r>
    </w:p>
    <w:p w14:paraId="57B88DEF">
      <w:pPr>
        <w:autoSpaceDE w:val="0"/>
        <w:autoSpaceDN w:val="0"/>
        <w:adjustRightInd w:val="0"/>
        <w:ind w:left="640"/>
        <w:rPr>
          <w:rFonts w:ascii="仿宋_GB2312" w:eastAsia="仿宋_GB2312" w:cs="Times New Roman"/>
          <w:bCs/>
          <w:sz w:val="32"/>
          <w:szCs w:val="32"/>
        </w:rPr>
      </w:pPr>
      <w:r>
        <w:rPr>
          <w:rFonts w:hint="eastAsia" w:ascii="仿宋_GB2312" w:eastAsia="仿宋_GB2312"/>
          <w:bCs/>
          <w:sz w:val="32"/>
          <w:szCs w:val="32"/>
        </w:rPr>
        <w:t>3、</w:t>
      </w:r>
      <w:r>
        <w:rPr>
          <w:rFonts w:hint="eastAsia" w:ascii="仿宋_GB2312" w:eastAsia="仿宋_GB2312" w:cs="Times New Roman"/>
          <w:bCs/>
          <w:sz w:val="32"/>
          <w:szCs w:val="32"/>
        </w:rPr>
        <w:t>负责全县各级工会组织建设、宣传教育、女工工作、私营经济组织建会工作。</w:t>
      </w:r>
    </w:p>
    <w:p w14:paraId="4EC44F5D">
      <w:pPr>
        <w:autoSpaceDE w:val="0"/>
        <w:autoSpaceDN w:val="0"/>
        <w:adjustRightInd w:val="0"/>
        <w:ind w:left="640"/>
        <w:rPr>
          <w:rFonts w:ascii="仿宋_GB2312" w:eastAsia="仿宋_GB2312" w:cs="Times New Roman"/>
          <w:bCs/>
          <w:sz w:val="32"/>
          <w:szCs w:val="32"/>
        </w:rPr>
      </w:pPr>
      <w:r>
        <w:rPr>
          <w:rFonts w:hint="eastAsia" w:ascii="仿宋_GB2312" w:eastAsia="仿宋_GB2312"/>
          <w:bCs/>
          <w:sz w:val="32"/>
          <w:szCs w:val="32"/>
        </w:rPr>
        <w:t>4、</w:t>
      </w:r>
      <w:r>
        <w:rPr>
          <w:rFonts w:hint="eastAsia" w:ascii="仿宋_GB2312" w:eastAsia="仿宋_GB2312" w:cs="Times New Roman"/>
          <w:bCs/>
          <w:sz w:val="32"/>
          <w:szCs w:val="32"/>
        </w:rPr>
        <w:t>负责全县各级各类企业的经济保障工作，企业民主管理工作。</w:t>
      </w:r>
    </w:p>
    <w:p w14:paraId="5A700A45">
      <w:pPr>
        <w:spacing w:line="584" w:lineRule="exact"/>
        <w:ind w:firstLine="660"/>
        <w:rPr>
          <w:rFonts w:ascii="Times New Roman" w:hAnsi="Times New Roman" w:eastAsia="仿宋_GB2312" w:cs="Times New Roman"/>
          <w:sz w:val="32"/>
          <w:szCs w:val="32"/>
        </w:rPr>
      </w:pPr>
      <w:r>
        <w:rPr>
          <w:rFonts w:hint="eastAsia" w:ascii="仿宋_GB2312" w:eastAsia="仿宋_GB2312"/>
          <w:bCs/>
          <w:sz w:val="32"/>
          <w:szCs w:val="32"/>
        </w:rPr>
        <w:t>5、</w:t>
      </w:r>
      <w:r>
        <w:rPr>
          <w:rFonts w:hint="eastAsia" w:ascii="仿宋_GB2312" w:eastAsia="仿宋_GB2312" w:cs="Times New Roman"/>
          <w:bCs/>
          <w:sz w:val="32"/>
          <w:szCs w:val="32"/>
        </w:rPr>
        <w:t>抓好全县职工队伍素质工程工作，以及丰富活跃职工文化生活</w:t>
      </w:r>
    </w:p>
    <w:p w14:paraId="45943889">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14:paraId="48F0EEF7">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8"/>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14:paraId="3C9E2F9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14:paraId="225D9C15">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14:paraId="5C33A7AF">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14:paraId="3B5D5A92">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14:paraId="76B010F3">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14:paraId="5EA603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14:paraId="76D73FC8">
            <w:pPr>
              <w:spacing w:line="584" w:lineRule="exact"/>
              <w:jc w:val="left"/>
              <w:outlineLvl w:val="0"/>
              <w:rPr>
                <w:rFonts w:ascii="Times New Roman" w:hAnsi="Times New Roman" w:eastAsia="仿宋_GB2312" w:cs="Times New Roman"/>
                <w:szCs w:val="24"/>
              </w:rPr>
            </w:pPr>
          </w:p>
        </w:tc>
        <w:tc>
          <w:tcPr>
            <w:tcW w:w="1134" w:type="dxa"/>
            <w:vMerge w:val="continue"/>
            <w:shd w:val="clear" w:color="auto" w:fill="auto"/>
            <w:vAlign w:val="center"/>
          </w:tcPr>
          <w:p w14:paraId="45843161">
            <w:pPr>
              <w:spacing w:line="584" w:lineRule="exact"/>
              <w:jc w:val="left"/>
              <w:outlineLvl w:val="0"/>
              <w:rPr>
                <w:rFonts w:ascii="Times New Roman" w:hAnsi="Times New Roman" w:eastAsia="仿宋_GB2312" w:cs="Times New Roman"/>
                <w:szCs w:val="24"/>
              </w:rPr>
            </w:pPr>
          </w:p>
        </w:tc>
        <w:tc>
          <w:tcPr>
            <w:tcW w:w="1276" w:type="dxa"/>
            <w:vMerge w:val="continue"/>
            <w:shd w:val="clear" w:color="auto" w:fill="auto"/>
            <w:vAlign w:val="center"/>
          </w:tcPr>
          <w:p w14:paraId="353FC22C">
            <w:pPr>
              <w:spacing w:line="584" w:lineRule="exact"/>
              <w:jc w:val="left"/>
              <w:outlineLvl w:val="0"/>
              <w:rPr>
                <w:rFonts w:ascii="Times New Roman" w:hAnsi="Times New Roman" w:eastAsia="仿宋_GB2312" w:cs="Times New Roman"/>
                <w:szCs w:val="24"/>
              </w:rPr>
            </w:pPr>
          </w:p>
        </w:tc>
        <w:tc>
          <w:tcPr>
            <w:tcW w:w="2902" w:type="dxa"/>
            <w:vMerge w:val="continue"/>
            <w:shd w:val="clear" w:color="auto" w:fill="auto"/>
            <w:vAlign w:val="center"/>
          </w:tcPr>
          <w:p w14:paraId="4EDF5ED4">
            <w:pPr>
              <w:spacing w:line="584" w:lineRule="exact"/>
              <w:jc w:val="left"/>
              <w:outlineLvl w:val="0"/>
              <w:rPr>
                <w:rFonts w:ascii="Times New Roman" w:hAnsi="Times New Roman" w:eastAsia="仿宋_GB2312" w:cs="Times New Roman"/>
                <w:szCs w:val="24"/>
              </w:rPr>
            </w:pPr>
          </w:p>
        </w:tc>
      </w:tr>
      <w:tr w14:paraId="4084BF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14:paraId="0B1CAC05">
            <w:pPr>
              <w:spacing w:line="584" w:lineRule="exact"/>
              <w:jc w:val="center"/>
              <w:rPr>
                <w:rFonts w:ascii="Times New Roman" w:hAnsi="Times New Roman" w:eastAsia="仿宋_GB2312" w:cs="Times New Roman"/>
                <w:b/>
              </w:rPr>
            </w:pPr>
            <w:r>
              <w:rPr>
                <w:rFonts w:hint="eastAsia" w:ascii="仿宋_GB2312" w:eastAsia="仿宋_GB2312" w:cs="ArialUnicodeMS"/>
                <w:kern w:val="0"/>
                <w:sz w:val="28"/>
                <w:szCs w:val="28"/>
              </w:rPr>
              <w:t>永清县总工会(本级)</w:t>
            </w:r>
          </w:p>
        </w:tc>
        <w:tc>
          <w:tcPr>
            <w:tcW w:w="1134" w:type="dxa"/>
            <w:shd w:val="clear" w:color="auto" w:fill="auto"/>
            <w:vAlign w:val="center"/>
          </w:tcPr>
          <w:p w14:paraId="79D22379">
            <w:pPr>
              <w:spacing w:line="584" w:lineRule="exact"/>
              <w:jc w:val="center"/>
              <w:rPr>
                <w:rFonts w:ascii="Times New Roman" w:hAnsi="Times New Roman" w:eastAsia="仿宋_GB2312" w:cs="Times New Roman"/>
                <w:b/>
              </w:rPr>
            </w:pPr>
            <w:r>
              <w:rPr>
                <w:rFonts w:hint="eastAsia" w:ascii="仿宋_GB2312" w:eastAsia="仿宋_GB2312" w:cs="ArialUnicodeMS"/>
                <w:kern w:val="0"/>
                <w:sz w:val="28"/>
                <w:szCs w:val="28"/>
              </w:rPr>
              <w:t>行政</w:t>
            </w:r>
          </w:p>
        </w:tc>
        <w:tc>
          <w:tcPr>
            <w:tcW w:w="1276" w:type="dxa"/>
            <w:shd w:val="clear" w:color="auto" w:fill="auto"/>
            <w:vAlign w:val="center"/>
          </w:tcPr>
          <w:p w14:paraId="064A34CC">
            <w:pPr>
              <w:spacing w:line="584" w:lineRule="exact"/>
              <w:jc w:val="center"/>
              <w:rPr>
                <w:rFonts w:ascii="Times New Roman" w:hAnsi="Times New Roman" w:eastAsia="仿宋_GB2312" w:cs="Times New Roman"/>
                <w:b/>
              </w:rPr>
            </w:pPr>
            <w:r>
              <w:rPr>
                <w:rFonts w:hint="eastAsia" w:ascii="仿宋_GB2312" w:eastAsia="仿宋_GB2312" w:cs="ArialUnicodeMS"/>
                <w:kern w:val="0"/>
                <w:sz w:val="28"/>
                <w:szCs w:val="28"/>
              </w:rPr>
              <w:t>正科级</w:t>
            </w:r>
          </w:p>
        </w:tc>
        <w:tc>
          <w:tcPr>
            <w:tcW w:w="2902" w:type="dxa"/>
            <w:shd w:val="clear" w:color="auto" w:fill="auto"/>
            <w:vAlign w:val="center"/>
          </w:tcPr>
          <w:p w14:paraId="5393EFC7">
            <w:pPr>
              <w:spacing w:line="584" w:lineRule="exact"/>
              <w:jc w:val="center"/>
              <w:rPr>
                <w:rFonts w:ascii="Times New Roman" w:hAnsi="Times New Roman" w:eastAsia="仿宋_GB2312" w:cs="Times New Roman"/>
                <w:b/>
              </w:rPr>
            </w:pPr>
            <w:r>
              <w:rPr>
                <w:rFonts w:ascii="Times New Roman" w:hAnsi="仿宋" w:eastAsia="仿宋" w:cs="Times New Roman"/>
                <w:sz w:val="32"/>
                <w:szCs w:val="32"/>
              </w:rPr>
              <w:t>财政拨款</w:t>
            </w:r>
          </w:p>
        </w:tc>
      </w:tr>
      <w:tr w14:paraId="721AD5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14:paraId="3719C4E6">
            <w:pPr>
              <w:spacing w:line="584" w:lineRule="exact"/>
              <w:jc w:val="left"/>
              <w:rPr>
                <w:rFonts w:ascii="Times New Roman" w:hAnsi="Times New Roman" w:eastAsia="仿宋_GB2312" w:cs="Times New Roman"/>
              </w:rPr>
            </w:pPr>
          </w:p>
        </w:tc>
        <w:tc>
          <w:tcPr>
            <w:tcW w:w="1134" w:type="dxa"/>
            <w:shd w:val="clear" w:color="auto" w:fill="auto"/>
            <w:vAlign w:val="center"/>
          </w:tcPr>
          <w:p w14:paraId="6F14EF00">
            <w:pPr>
              <w:spacing w:line="584" w:lineRule="exact"/>
              <w:jc w:val="center"/>
              <w:rPr>
                <w:rFonts w:ascii="Times New Roman" w:hAnsi="Times New Roman" w:eastAsia="仿宋_GB2312" w:cs="Times New Roman"/>
              </w:rPr>
            </w:pPr>
          </w:p>
        </w:tc>
        <w:tc>
          <w:tcPr>
            <w:tcW w:w="1276" w:type="dxa"/>
            <w:shd w:val="clear" w:color="auto" w:fill="auto"/>
            <w:vAlign w:val="center"/>
          </w:tcPr>
          <w:p w14:paraId="34B1E994">
            <w:pPr>
              <w:spacing w:line="584" w:lineRule="exact"/>
              <w:jc w:val="center"/>
              <w:rPr>
                <w:rFonts w:ascii="Times New Roman" w:hAnsi="Times New Roman" w:eastAsia="仿宋_GB2312" w:cs="Times New Roman"/>
              </w:rPr>
            </w:pPr>
          </w:p>
        </w:tc>
        <w:tc>
          <w:tcPr>
            <w:tcW w:w="2902" w:type="dxa"/>
            <w:shd w:val="clear" w:color="auto" w:fill="auto"/>
            <w:vAlign w:val="center"/>
          </w:tcPr>
          <w:p w14:paraId="770E23F1">
            <w:pPr>
              <w:spacing w:line="584" w:lineRule="exact"/>
              <w:jc w:val="center"/>
              <w:rPr>
                <w:rFonts w:ascii="Times New Roman" w:hAnsi="Times New Roman" w:eastAsia="仿宋_GB2312" w:cs="Times New Roman"/>
              </w:rPr>
            </w:pPr>
          </w:p>
        </w:tc>
      </w:tr>
      <w:tr w14:paraId="569F85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14:paraId="4C704F88">
            <w:pPr>
              <w:spacing w:line="584" w:lineRule="exact"/>
              <w:jc w:val="left"/>
              <w:rPr>
                <w:rFonts w:ascii="Times New Roman" w:hAnsi="Times New Roman" w:eastAsia="仿宋_GB2312" w:cs="Times New Roman"/>
              </w:rPr>
            </w:pPr>
          </w:p>
        </w:tc>
        <w:tc>
          <w:tcPr>
            <w:tcW w:w="1134" w:type="dxa"/>
            <w:shd w:val="clear" w:color="auto" w:fill="auto"/>
            <w:vAlign w:val="center"/>
          </w:tcPr>
          <w:p w14:paraId="70646F93">
            <w:pPr>
              <w:spacing w:line="584" w:lineRule="exact"/>
              <w:jc w:val="center"/>
              <w:rPr>
                <w:rFonts w:ascii="Times New Roman" w:hAnsi="Times New Roman" w:eastAsia="仿宋_GB2312" w:cs="Times New Roman"/>
              </w:rPr>
            </w:pPr>
          </w:p>
        </w:tc>
        <w:tc>
          <w:tcPr>
            <w:tcW w:w="1276" w:type="dxa"/>
            <w:shd w:val="clear" w:color="auto" w:fill="auto"/>
            <w:vAlign w:val="center"/>
          </w:tcPr>
          <w:p w14:paraId="5B385D50">
            <w:pPr>
              <w:spacing w:line="584" w:lineRule="exact"/>
              <w:jc w:val="center"/>
              <w:rPr>
                <w:rFonts w:ascii="Times New Roman" w:hAnsi="Times New Roman" w:eastAsia="仿宋_GB2312" w:cs="Times New Roman"/>
              </w:rPr>
            </w:pPr>
          </w:p>
        </w:tc>
        <w:tc>
          <w:tcPr>
            <w:tcW w:w="2902" w:type="dxa"/>
            <w:shd w:val="clear" w:color="auto" w:fill="auto"/>
            <w:vAlign w:val="center"/>
          </w:tcPr>
          <w:p w14:paraId="1030A119">
            <w:pPr>
              <w:spacing w:line="584" w:lineRule="exact"/>
              <w:jc w:val="center"/>
              <w:rPr>
                <w:rFonts w:ascii="Times New Roman" w:hAnsi="Times New Roman" w:eastAsia="仿宋_GB2312" w:cs="Times New Roman"/>
              </w:rPr>
            </w:pPr>
          </w:p>
        </w:tc>
      </w:tr>
    </w:tbl>
    <w:p w14:paraId="2322D89E">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二、部门预算安排的总体情况</w:t>
      </w:r>
    </w:p>
    <w:p w14:paraId="26FF9994">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按照预算管理有关规定，目前我县部门预算的编制实行综合预算制度，即全部收入和支出都反映在预算中。永清县</w:t>
      </w:r>
      <w:r>
        <w:rPr>
          <w:rFonts w:hint="eastAsia" w:ascii="Times New Roman" w:hAnsi="Times New Roman" w:eastAsia="仿宋_GB2312" w:cs="Times New Roman"/>
          <w:sz w:val="32"/>
          <w:szCs w:val="32"/>
        </w:rPr>
        <w:t>总工会</w:t>
      </w:r>
      <w:r>
        <w:rPr>
          <w:rFonts w:ascii="Times New Roman" w:hAnsi="Times New Roman" w:eastAsia="仿宋_GB2312" w:cs="Times New Roman"/>
          <w:sz w:val="32"/>
          <w:szCs w:val="32"/>
        </w:rPr>
        <w:t>机关及所属事业单位的收支包含在部门预算中。</w:t>
      </w:r>
    </w:p>
    <w:p w14:paraId="47BEC293">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1、收入说明</w:t>
      </w:r>
    </w:p>
    <w:p w14:paraId="3A41AC78">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反映本部门当年全部收入。2023年预算收入</w:t>
      </w:r>
      <w:r>
        <w:rPr>
          <w:rFonts w:hint="eastAsia" w:ascii="Times New Roman" w:hAnsi="Times New Roman" w:eastAsia="仿宋_GB2312" w:cs="Times New Roman"/>
          <w:sz w:val="32"/>
          <w:szCs w:val="32"/>
          <w:lang w:val="en-US" w:eastAsia="zh-CN"/>
        </w:rPr>
        <w:t>502.71</w:t>
      </w:r>
      <w:r>
        <w:rPr>
          <w:rFonts w:ascii="Times New Roman" w:hAnsi="Times New Roman" w:eastAsia="仿宋_GB2312" w:cs="Times New Roman"/>
          <w:sz w:val="32"/>
          <w:szCs w:val="32"/>
        </w:rPr>
        <w:t>万元，其中：一般公共预算收入</w:t>
      </w:r>
      <w:r>
        <w:rPr>
          <w:rFonts w:hint="eastAsia" w:ascii="Times New Roman" w:hAnsi="Times New Roman" w:eastAsia="仿宋_GB2312" w:cs="Times New Roman"/>
          <w:sz w:val="32"/>
          <w:szCs w:val="32"/>
          <w:lang w:val="en-US" w:eastAsia="zh-CN"/>
        </w:rPr>
        <w:t>502.71</w:t>
      </w:r>
      <w:r>
        <w:rPr>
          <w:rFonts w:ascii="Times New Roman" w:hAnsi="Times New Roman" w:eastAsia="仿宋_GB2312" w:cs="Times New Roman"/>
          <w:sz w:val="32"/>
          <w:szCs w:val="32"/>
        </w:rPr>
        <w:t>万元，基金预算收入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万元，财政专户核拨收入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万元，其他来源收入</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上年结转</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万元</w:t>
      </w:r>
      <w:r>
        <w:rPr>
          <w:rFonts w:ascii="Times New Roman" w:hAnsi="Times New Roman" w:eastAsia="仿宋_GB2312" w:cs="Times New Roman"/>
          <w:sz w:val="32"/>
          <w:szCs w:val="32"/>
        </w:rPr>
        <w:t>。</w:t>
      </w:r>
    </w:p>
    <w:p w14:paraId="36AD3A22">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2、支出说明</w:t>
      </w:r>
    </w:p>
    <w:p w14:paraId="45339D34">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收支预算总表支出栏、基本支出表、项目支出表按经济分类和支出功能分类科目编制，反映永清县</w:t>
      </w:r>
      <w:r>
        <w:rPr>
          <w:rFonts w:hint="eastAsia" w:ascii="Times New Roman" w:hAnsi="Times New Roman" w:eastAsia="仿宋_GB2312" w:cs="Times New Roman"/>
          <w:sz w:val="32"/>
          <w:szCs w:val="32"/>
          <w:lang w:eastAsia="zh-CN"/>
        </w:rPr>
        <w:t>总工会</w:t>
      </w:r>
      <w:r>
        <w:rPr>
          <w:rFonts w:ascii="Times New Roman" w:hAnsi="Times New Roman" w:eastAsia="仿宋_GB2312" w:cs="Times New Roman"/>
          <w:sz w:val="32"/>
          <w:szCs w:val="32"/>
        </w:rPr>
        <w:t>年度部门预算中支出预算的总体情况。2023年支出预算</w:t>
      </w:r>
      <w:r>
        <w:rPr>
          <w:rFonts w:hint="eastAsia" w:ascii="Times New Roman" w:hAnsi="Times New Roman" w:eastAsia="仿宋_GB2312" w:cs="Times New Roman"/>
          <w:sz w:val="32"/>
          <w:szCs w:val="32"/>
          <w:lang w:val="en-US" w:eastAsia="zh-CN"/>
        </w:rPr>
        <w:t>502.71</w:t>
      </w:r>
      <w:r>
        <w:rPr>
          <w:rFonts w:ascii="Times New Roman" w:hAnsi="Times New Roman" w:eastAsia="仿宋_GB2312" w:cs="Times New Roman"/>
          <w:sz w:val="32"/>
          <w:szCs w:val="32"/>
        </w:rPr>
        <w:t>万元，其中基本支出</w:t>
      </w:r>
      <w:r>
        <w:rPr>
          <w:rFonts w:hint="eastAsia" w:ascii="Times New Roman" w:hAnsi="Times New Roman" w:eastAsia="仿宋_GB2312" w:cs="Times New Roman"/>
          <w:sz w:val="32"/>
          <w:szCs w:val="32"/>
          <w:lang w:val="en-US" w:eastAsia="zh-CN"/>
        </w:rPr>
        <w:t>502.71</w:t>
      </w:r>
      <w:r>
        <w:rPr>
          <w:rFonts w:ascii="Times New Roman" w:hAnsi="Times New Roman" w:eastAsia="仿宋_GB2312" w:cs="Times New Roman"/>
          <w:sz w:val="32"/>
          <w:szCs w:val="32"/>
        </w:rPr>
        <w:t>万元，包括人员类项目经费</w:t>
      </w:r>
      <w:r>
        <w:rPr>
          <w:rFonts w:hint="eastAsia" w:ascii="Times New Roman" w:hAnsi="Times New Roman" w:eastAsia="仿宋_GB2312" w:cs="Times New Roman"/>
          <w:sz w:val="32"/>
          <w:szCs w:val="32"/>
          <w:lang w:val="en-US" w:eastAsia="zh-CN"/>
        </w:rPr>
        <w:t>102.47</w:t>
      </w:r>
      <w:r>
        <w:rPr>
          <w:rFonts w:ascii="Times New Roman" w:hAnsi="Times New Roman" w:eastAsia="仿宋_GB2312" w:cs="Times New Roman"/>
          <w:sz w:val="32"/>
          <w:szCs w:val="32"/>
        </w:rPr>
        <w:t>万元和</w:t>
      </w:r>
      <w:r>
        <w:rPr>
          <w:rFonts w:hint="eastAsia" w:ascii="Times New Roman" w:hAnsi="Times New Roman" w:eastAsia="仿宋_GB2312" w:cs="Times New Roman"/>
          <w:sz w:val="32"/>
          <w:szCs w:val="32"/>
        </w:rPr>
        <w:t>运转类</w:t>
      </w:r>
      <w:r>
        <w:rPr>
          <w:rFonts w:ascii="Times New Roman" w:hAnsi="Times New Roman" w:eastAsia="仿宋_GB2312" w:cs="Times New Roman"/>
          <w:sz w:val="32"/>
          <w:szCs w:val="32"/>
        </w:rPr>
        <w:t>公用项目经费</w:t>
      </w:r>
      <w:r>
        <w:rPr>
          <w:rFonts w:hint="eastAsia" w:ascii="Times New Roman" w:hAnsi="Times New Roman" w:eastAsia="仿宋_GB2312" w:cs="Times New Roman"/>
          <w:sz w:val="32"/>
          <w:szCs w:val="32"/>
          <w:lang w:val="en-US" w:eastAsia="zh-CN"/>
        </w:rPr>
        <w:t>400.24</w:t>
      </w:r>
      <w:r>
        <w:rPr>
          <w:rFonts w:ascii="Times New Roman" w:hAnsi="Times New Roman" w:eastAsia="仿宋_GB2312" w:cs="Times New Roman"/>
          <w:sz w:val="32"/>
          <w:szCs w:val="32"/>
        </w:rPr>
        <w:t>万元。</w:t>
      </w:r>
    </w:p>
    <w:p w14:paraId="01B388EE">
      <w:pPr>
        <w:spacing w:line="584" w:lineRule="exact"/>
        <w:ind w:firstLine="640"/>
        <w:rPr>
          <w:rFonts w:ascii="Times New Roman" w:hAnsi="Times New Roman" w:eastAsia="仿宋_GB2312" w:cs="Times New Roman"/>
          <w:b/>
          <w:sz w:val="32"/>
          <w:szCs w:val="32"/>
        </w:rPr>
      </w:pPr>
      <w:r>
        <w:rPr>
          <w:rFonts w:ascii="Times New Roman" w:hAnsi="Times New Roman" w:eastAsia="仿宋_GB2312" w:cs="Times New Roman"/>
          <w:b/>
          <w:sz w:val="32"/>
          <w:szCs w:val="32"/>
        </w:rPr>
        <w:t>3、比上年增减情况</w:t>
      </w:r>
    </w:p>
    <w:p w14:paraId="082001B4">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2023年预算收支安排</w:t>
      </w:r>
      <w:r>
        <w:rPr>
          <w:rFonts w:hint="eastAsia" w:ascii="Times New Roman" w:hAnsi="Times New Roman" w:eastAsia="仿宋_GB2312" w:cs="Times New Roman"/>
          <w:sz w:val="32"/>
          <w:szCs w:val="32"/>
          <w:lang w:val="en-US" w:eastAsia="zh-CN"/>
        </w:rPr>
        <w:t>502.71</w:t>
      </w:r>
      <w:r>
        <w:rPr>
          <w:rFonts w:ascii="Times New Roman" w:hAnsi="Times New Roman" w:eastAsia="仿宋_GB2312" w:cs="Times New Roman"/>
          <w:sz w:val="32"/>
          <w:szCs w:val="32"/>
        </w:rPr>
        <w:t>万元，较20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2年预算增加</w:t>
      </w:r>
      <w:r>
        <w:rPr>
          <w:rFonts w:hint="eastAsia" w:ascii="Times New Roman" w:hAnsi="Times New Roman" w:eastAsia="仿宋_GB2312" w:cs="Times New Roman"/>
          <w:sz w:val="32"/>
          <w:szCs w:val="32"/>
          <w:lang w:val="en-US" w:eastAsia="zh-CN"/>
        </w:rPr>
        <w:t>42.14</w:t>
      </w:r>
      <w:r>
        <w:rPr>
          <w:rFonts w:ascii="Times New Roman" w:hAnsi="Times New Roman" w:eastAsia="仿宋_GB2312" w:cs="Times New Roman"/>
          <w:sz w:val="32"/>
          <w:szCs w:val="32"/>
        </w:rPr>
        <w:t>万元，其中：基本支出增加</w:t>
      </w:r>
      <w:r>
        <w:rPr>
          <w:rFonts w:hint="eastAsia" w:ascii="Times New Roman" w:hAnsi="Times New Roman" w:eastAsia="仿宋_GB2312" w:cs="Times New Roman"/>
          <w:sz w:val="32"/>
          <w:szCs w:val="32"/>
          <w:lang w:val="en-US" w:eastAsia="zh-CN"/>
        </w:rPr>
        <w:t>44.57</w:t>
      </w:r>
      <w:r>
        <w:rPr>
          <w:rFonts w:ascii="Times New Roman" w:hAnsi="Times New Roman" w:eastAsia="仿宋_GB2312" w:cs="Times New Roman"/>
          <w:sz w:val="32"/>
          <w:szCs w:val="32"/>
        </w:rPr>
        <w:t>万元，主要为</w:t>
      </w:r>
      <w:r>
        <w:rPr>
          <w:rFonts w:hint="eastAsia" w:ascii="Times New Roman" w:hAnsi="Times New Roman" w:eastAsia="仿宋_GB2312" w:cs="Times New Roman"/>
          <w:sz w:val="32"/>
          <w:szCs w:val="32"/>
        </w:rPr>
        <w:t>日常共用经费</w:t>
      </w:r>
      <w:r>
        <w:rPr>
          <w:rFonts w:ascii="Times New Roman" w:hAnsi="Times New Roman" w:eastAsia="仿宋_GB2312" w:cs="Times New Roman"/>
          <w:sz w:val="32"/>
          <w:szCs w:val="32"/>
        </w:rPr>
        <w:t>支出。</w:t>
      </w:r>
    </w:p>
    <w:p w14:paraId="71A95527">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三、机关运行经费安排情况</w:t>
      </w:r>
    </w:p>
    <w:p w14:paraId="02C744D6">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2023年，我</w:t>
      </w:r>
      <w:r>
        <w:rPr>
          <w:rFonts w:hint="eastAsia" w:ascii="Times New Roman" w:hAnsi="Times New Roman" w:eastAsia="仿宋_GB2312" w:cs="Times New Roman"/>
          <w:sz w:val="32"/>
          <w:szCs w:val="32"/>
          <w:lang w:eastAsia="zh-CN"/>
        </w:rPr>
        <w:t>部门</w:t>
      </w:r>
      <w:r>
        <w:rPr>
          <w:rFonts w:ascii="Times New Roman" w:hAnsi="Times New Roman" w:eastAsia="仿宋_GB2312" w:cs="Times New Roman"/>
          <w:sz w:val="32"/>
          <w:szCs w:val="32"/>
        </w:rPr>
        <w:t>机关运行经费共计安排</w:t>
      </w:r>
      <w:r>
        <w:rPr>
          <w:rFonts w:hint="eastAsia" w:ascii="Times New Roman" w:hAnsi="Times New Roman" w:eastAsia="仿宋_GB2312" w:cs="Times New Roman"/>
          <w:sz w:val="32"/>
          <w:szCs w:val="32"/>
        </w:rPr>
        <w:t>0</w:t>
      </w:r>
      <w:r>
        <w:rPr>
          <w:rFonts w:ascii="Times New Roman" w:hAnsi="Times New Roman" w:eastAsia="仿宋_GB2312" w:cs="Times New Roman"/>
          <w:sz w:val="32"/>
          <w:szCs w:val="32"/>
        </w:rPr>
        <w:t>万元，因为按《中华人民共和国工会法》规定，财政部门不负责拨付各级工会部门其他日常运行支出。</w:t>
      </w:r>
    </w:p>
    <w:p w14:paraId="6A2FD2AF">
      <w:pPr>
        <w:autoSpaceDE w:val="0"/>
        <w:autoSpaceDN w:val="0"/>
        <w:adjustRightInd w:val="0"/>
        <w:spacing w:line="584" w:lineRule="exact"/>
        <w:ind w:firstLine="630" w:firstLineChars="196"/>
        <w:jc w:val="left"/>
        <w:rPr>
          <w:rFonts w:ascii="Times New Roman" w:hAnsi="Times New Roman" w:eastAsia="仿宋_GB2312" w:cs="Times New Roman"/>
          <w:b/>
          <w:sz w:val="32"/>
          <w:szCs w:val="32"/>
        </w:rPr>
      </w:pPr>
      <w:r>
        <w:rPr>
          <w:rFonts w:ascii="Times New Roman" w:hAnsi="Times New Roman" w:eastAsia="仿宋_GB2312" w:cs="Times New Roman"/>
          <w:b/>
          <w:sz w:val="32"/>
          <w:szCs w:val="32"/>
        </w:rPr>
        <w:t>四、财政拨款“三公”经费预算情况及增减变化原因</w:t>
      </w:r>
    </w:p>
    <w:p w14:paraId="18A19979">
      <w:pPr>
        <w:autoSpaceDE w:val="0"/>
        <w:autoSpaceDN w:val="0"/>
        <w:adjustRightInd w:val="0"/>
        <w:spacing w:line="584" w:lineRule="exact"/>
        <w:ind w:left="197" w:leftChars="94"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2023年，我</w:t>
      </w:r>
      <w:r>
        <w:rPr>
          <w:rFonts w:hint="eastAsia" w:ascii="Times New Roman" w:hAnsi="Times New Roman" w:eastAsia="仿宋_GB2312" w:cs="Times New Roman"/>
          <w:sz w:val="32"/>
          <w:szCs w:val="32"/>
          <w:lang w:eastAsia="zh-CN"/>
        </w:rPr>
        <w:t>部门</w:t>
      </w:r>
      <w:r>
        <w:rPr>
          <w:rFonts w:ascii="Times New Roman" w:hAnsi="Times New Roman" w:eastAsia="仿宋_GB2312" w:cs="Times New Roman"/>
          <w:sz w:val="32"/>
          <w:szCs w:val="32"/>
        </w:rPr>
        <w:t>财政拨款“三公”经费预算安排</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其中</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因公出国（境）费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万元；公务用车购置及运维费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万元（其中：公务用车购置费为</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万元，公务用车运维费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万元)；公务接待费</w:t>
      </w:r>
      <w:r>
        <w:rPr>
          <w:rFonts w:hint="eastAsia" w:ascii="Times New Roman" w:hAnsi="Times New Roman" w:eastAsia="仿宋_GB2312" w:cs="Times New Roman"/>
          <w:sz w:val="32"/>
          <w:szCs w:val="32"/>
          <w:lang w:val="en-US" w:eastAsia="zh-CN"/>
        </w:rPr>
        <w:t>0</w:t>
      </w:r>
      <w:r>
        <w:rPr>
          <w:rFonts w:ascii="Times New Roman" w:hAnsi="Times New Roman" w:eastAsia="仿宋_GB2312" w:cs="Times New Roman"/>
          <w:sz w:val="32"/>
          <w:szCs w:val="32"/>
        </w:rPr>
        <w:t>万元。与20</w:t>
      </w:r>
      <w:r>
        <w:rPr>
          <w:rFonts w:hint="eastAsia" w:ascii="Times New Roman" w:hAnsi="Times New Roman" w:eastAsia="仿宋_GB2312" w:cs="Times New Roman"/>
          <w:sz w:val="32"/>
          <w:szCs w:val="32"/>
        </w:rPr>
        <w:t>2</w:t>
      </w:r>
      <w:r>
        <w:rPr>
          <w:rFonts w:ascii="Times New Roman" w:hAnsi="Times New Roman" w:eastAsia="仿宋_GB2312" w:cs="Times New Roman"/>
          <w:sz w:val="32"/>
          <w:szCs w:val="32"/>
        </w:rPr>
        <w:t>2年</w:t>
      </w:r>
      <w:r>
        <w:rPr>
          <w:rFonts w:hint="eastAsia" w:ascii="Times New Roman" w:hAnsi="Times New Roman" w:eastAsia="仿宋_GB2312" w:cs="Times New Roman"/>
          <w:sz w:val="32"/>
          <w:szCs w:val="32"/>
        </w:rPr>
        <w:t>相比</w:t>
      </w:r>
      <w:r>
        <w:rPr>
          <w:rFonts w:ascii="Times New Roman" w:hAnsi="Times New Roman" w:eastAsia="仿宋_GB2312" w:cs="Times New Roman"/>
          <w:color w:val="auto"/>
          <w:sz w:val="32"/>
          <w:szCs w:val="32"/>
        </w:rPr>
        <w:t>持平，无增减变化。</w:t>
      </w:r>
    </w:p>
    <w:p w14:paraId="0B13A6A6">
      <w:pPr>
        <w:spacing w:line="584" w:lineRule="exact"/>
        <w:ind w:firstLine="640" w:firstLineChars="200"/>
        <w:rPr>
          <w:rFonts w:ascii="Times New Roman" w:hAnsi="黑体" w:eastAsia="黑体" w:cs="Times New Roman"/>
          <w:sz w:val="32"/>
          <w:szCs w:val="32"/>
        </w:rPr>
      </w:pPr>
      <w:r>
        <w:rPr>
          <w:rFonts w:ascii="Times New Roman" w:hAnsi="黑体" w:eastAsia="黑体" w:cs="Times New Roman"/>
          <w:sz w:val="32"/>
          <w:szCs w:val="32"/>
        </w:rPr>
        <w:t>五、绩效预算信息</w:t>
      </w:r>
    </w:p>
    <w:p w14:paraId="062F126C">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第一部分部门整体绩效目标</w:t>
      </w:r>
    </w:p>
    <w:p w14:paraId="06D2CAA3">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（一）总体绩效目标</w:t>
      </w:r>
    </w:p>
    <w:p w14:paraId="3DCF2F5C">
      <w:pPr>
        <w:pStyle w:val="23"/>
        <w:adjustRightInd w:val="0"/>
        <w:snapToGrid w:val="0"/>
        <w:spacing w:line="584" w:lineRule="exact"/>
        <w:ind w:left="1269" w:firstLine="480" w:firstLineChars="150"/>
        <w:rPr>
          <w:rFonts w:eastAsia="仿宋_GB2312"/>
          <w:sz w:val="32"/>
          <w:szCs w:val="32"/>
        </w:rPr>
      </w:pPr>
      <w:r>
        <w:rPr>
          <w:rFonts w:eastAsia="仿宋_GB2312"/>
          <w:sz w:val="32"/>
          <w:szCs w:val="32"/>
        </w:rPr>
        <w:t>县</w:t>
      </w:r>
      <w:r>
        <w:rPr>
          <w:rFonts w:hint="eastAsia" w:eastAsia="仿宋_GB2312"/>
          <w:sz w:val="32"/>
          <w:szCs w:val="32"/>
        </w:rPr>
        <w:t>总</w:t>
      </w:r>
      <w:r>
        <w:rPr>
          <w:rFonts w:eastAsia="仿宋_GB2312"/>
          <w:sz w:val="32"/>
          <w:szCs w:val="32"/>
        </w:rPr>
        <w:t>工会严格按照经费管理使用要求进行管理，确保资金专 款专用，对经费管理基本做到科学安排、合理配置，严格按照资金使用的目标任务，明确经费开支范围，有效整合各项 源，避免重复浪费，较好的确保了救助工作顺利开展、实施收效明显。资金支出规范，严格按单位制定的内部控 制管理制度来执行，会计核算清晰完整，账务处理及时规范</w:t>
      </w:r>
      <w:r>
        <w:rPr>
          <w:rFonts w:hint="eastAsia" w:eastAsia="仿宋_GB2312"/>
          <w:sz w:val="32"/>
          <w:szCs w:val="32"/>
        </w:rPr>
        <w:t>，</w:t>
      </w:r>
      <w:r>
        <w:rPr>
          <w:rFonts w:eastAsia="仿宋_GB2312"/>
          <w:sz w:val="32"/>
          <w:szCs w:val="32"/>
        </w:rPr>
        <w:t>无截留、挤占、挪用项目资金情况，</w:t>
      </w:r>
      <w:r>
        <w:rPr>
          <w:rFonts w:hint="eastAsia" w:eastAsia="仿宋_GB2312"/>
          <w:sz w:val="32"/>
          <w:szCs w:val="32"/>
        </w:rPr>
        <w:t>项</w:t>
      </w:r>
      <w:r>
        <w:rPr>
          <w:rFonts w:eastAsia="仿宋_GB2312"/>
          <w:sz w:val="32"/>
          <w:szCs w:val="32"/>
        </w:rPr>
        <w:t>目实施程序规范，严格按照单位制定的内部控制制度及相关文件做好各项目任务，并对项目实施进展监控。严格遵守国家财经方面的法律法规和</w:t>
      </w:r>
      <w:r>
        <w:rPr>
          <w:rFonts w:hint="eastAsia" w:eastAsia="仿宋_GB2312"/>
          <w:sz w:val="32"/>
          <w:szCs w:val="32"/>
        </w:rPr>
        <w:t>工会</w:t>
      </w:r>
      <w:r>
        <w:rPr>
          <w:rFonts w:eastAsia="仿宋_GB2312"/>
          <w:sz w:val="32"/>
          <w:szCs w:val="32"/>
        </w:rPr>
        <w:t>资产管理制度，制订了固定资产管理规定，单位制定了详细的资 产管理办法，对资产的购置、使用、保管等方面进行规定。加强资产的管理，指 定专人负责固定资产日常管理，有效维护</w:t>
      </w:r>
      <w:r>
        <w:rPr>
          <w:rFonts w:hint="eastAsia" w:eastAsia="仿宋_GB2312"/>
          <w:sz w:val="32"/>
          <w:szCs w:val="32"/>
        </w:rPr>
        <w:t>工会</w:t>
      </w:r>
      <w:r>
        <w:rPr>
          <w:rFonts w:eastAsia="仿宋_GB2312"/>
          <w:sz w:val="32"/>
          <w:szCs w:val="32"/>
        </w:rPr>
        <w:t>资产的安全和完整。</w:t>
      </w:r>
    </w:p>
    <w:p w14:paraId="39CD52D2">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（二）分项绩效目标</w:t>
      </w:r>
    </w:p>
    <w:p w14:paraId="2A9C428A">
      <w:pPr>
        <w:spacing w:line="580" w:lineRule="exact"/>
        <w:ind w:firstLine="630"/>
        <w:rPr>
          <w:rFonts w:hint="eastAsia" w:ascii="Times New Roman" w:hAnsi="Times New Roman" w:eastAsia="方正仿宋_GBK"/>
          <w:sz w:val="32"/>
          <w:szCs w:val="32"/>
        </w:rPr>
      </w:pPr>
      <w:r>
        <w:rPr>
          <w:rFonts w:ascii="Times New Roman" w:hAnsi="Times New Roman" w:eastAsia="方正仿宋_GBK"/>
          <w:b/>
          <w:bCs/>
          <w:sz w:val="32"/>
          <w:szCs w:val="32"/>
        </w:rPr>
        <w:t>（一）</w:t>
      </w:r>
      <w:r>
        <w:rPr>
          <w:rFonts w:hint="eastAsia" w:ascii="仿宋_GB2312" w:eastAsia="仿宋_GB2312" w:cs="楷体_GB2312"/>
          <w:bCs/>
          <w:sz w:val="32"/>
          <w:szCs w:val="32"/>
        </w:rPr>
        <w:t>困难职工及劳模帮扶救助</w:t>
      </w:r>
    </w:p>
    <w:p w14:paraId="73F414D3">
      <w:pPr>
        <w:spacing w:line="580" w:lineRule="exact"/>
        <w:ind w:firstLine="630"/>
        <w:rPr>
          <w:rFonts w:ascii="Times New Roman" w:hAnsi="Times New Roman" w:eastAsia="方正仿宋_GBK"/>
          <w:sz w:val="32"/>
          <w:szCs w:val="32"/>
        </w:rPr>
      </w:pPr>
      <w:r>
        <w:rPr>
          <w:rFonts w:ascii="Times New Roman" w:hAnsi="Times New Roman" w:eastAsia="方正仿宋_GBK"/>
          <w:b/>
          <w:bCs/>
          <w:sz w:val="32"/>
          <w:szCs w:val="32"/>
        </w:rPr>
        <w:t>绩效目标：</w:t>
      </w:r>
      <w:r>
        <w:rPr>
          <w:rFonts w:hint="eastAsia" w:ascii="仿宋_GB2312" w:eastAsia="仿宋_GB2312" w:cs="楷体_GB2312"/>
          <w:bCs/>
          <w:sz w:val="32"/>
          <w:szCs w:val="32"/>
        </w:rPr>
        <w:t>做好困难职工及劳模帮扶救助工作</w:t>
      </w:r>
    </w:p>
    <w:p w14:paraId="55BFA841">
      <w:pPr>
        <w:overflowPunct w:val="0"/>
        <w:spacing w:line="584" w:lineRule="exact"/>
        <w:ind w:firstLine="630"/>
        <w:rPr>
          <w:rFonts w:ascii="Times New Roman" w:hAnsi="Times New Roman" w:eastAsia="方正仿宋_GBK"/>
          <w:sz w:val="32"/>
          <w:szCs w:val="32"/>
        </w:rPr>
      </w:pPr>
      <w:r>
        <w:rPr>
          <w:rFonts w:ascii="Times New Roman" w:hAnsi="Times New Roman" w:eastAsia="方正仿宋_GBK"/>
          <w:b/>
          <w:bCs/>
          <w:sz w:val="32"/>
          <w:szCs w:val="32"/>
        </w:rPr>
        <w:t>绩效指标：</w:t>
      </w:r>
      <w:r>
        <w:rPr>
          <w:rFonts w:hint="eastAsia" w:ascii="仿宋_GB2312" w:eastAsia="仿宋_GB2312" w:cs="楷体_GB2312"/>
          <w:bCs/>
          <w:sz w:val="32"/>
          <w:szCs w:val="32"/>
        </w:rPr>
        <w:t>及时足额发放中央和省下发的</w:t>
      </w:r>
      <w:r>
        <w:rPr>
          <w:rFonts w:hint="eastAsia" w:ascii="仿宋_GB2312" w:eastAsia="仿宋_GB2312"/>
          <w:sz w:val="32"/>
          <w:szCs w:val="32"/>
        </w:rPr>
        <w:t>困难职工及劳模帮扶救助专项资金</w:t>
      </w:r>
    </w:p>
    <w:p w14:paraId="75739E4C">
      <w:pPr>
        <w:spacing w:line="580" w:lineRule="exact"/>
        <w:ind w:firstLine="630"/>
        <w:rPr>
          <w:rFonts w:ascii="Times New Roman" w:hAnsi="Times New Roman" w:eastAsia="方正仿宋_GBK"/>
          <w:b/>
          <w:bCs/>
          <w:sz w:val="32"/>
          <w:szCs w:val="32"/>
        </w:rPr>
      </w:pPr>
      <w:r>
        <w:rPr>
          <w:rFonts w:ascii="Times New Roman" w:hAnsi="Times New Roman" w:eastAsia="方正仿宋_GBK"/>
          <w:b/>
          <w:bCs/>
          <w:sz w:val="32"/>
          <w:szCs w:val="32"/>
        </w:rPr>
        <w:t>（二）</w:t>
      </w:r>
      <w:r>
        <w:rPr>
          <w:rFonts w:hint="eastAsia" w:ascii="Times New Roman" w:hAnsi="Times New Roman" w:eastAsia="方正仿宋_GBK"/>
          <w:bCs/>
          <w:sz w:val="32"/>
          <w:szCs w:val="32"/>
        </w:rPr>
        <w:t>2023年劳模体检</w:t>
      </w:r>
    </w:p>
    <w:p w14:paraId="0397099B">
      <w:pPr>
        <w:spacing w:line="580" w:lineRule="exact"/>
        <w:ind w:firstLine="630"/>
        <w:rPr>
          <w:rFonts w:ascii="Times New Roman" w:hAnsi="Times New Roman" w:eastAsia="方正仿宋_GBK"/>
          <w:b/>
          <w:bCs/>
          <w:sz w:val="32"/>
          <w:szCs w:val="32"/>
        </w:rPr>
      </w:pPr>
      <w:r>
        <w:rPr>
          <w:rFonts w:ascii="Times New Roman" w:hAnsi="Times New Roman" w:eastAsia="方正仿宋_GBK"/>
          <w:b/>
          <w:bCs/>
          <w:sz w:val="32"/>
          <w:szCs w:val="32"/>
        </w:rPr>
        <w:t>绩效目标：</w:t>
      </w:r>
      <w:r>
        <w:rPr>
          <w:rFonts w:hint="eastAsia" w:ascii="Times New Roman" w:hAnsi="Times New Roman" w:eastAsia="方正仿宋_GBK"/>
          <w:bCs/>
          <w:sz w:val="32"/>
          <w:szCs w:val="32"/>
        </w:rPr>
        <w:t>做好2023年劳模体检工作</w:t>
      </w:r>
    </w:p>
    <w:p w14:paraId="0E8B9135">
      <w:pPr>
        <w:spacing w:line="580" w:lineRule="exact"/>
        <w:ind w:firstLine="630"/>
        <w:rPr>
          <w:rFonts w:ascii="Times New Roman" w:hAnsi="Times New Roman" w:eastAsia="方正仿宋_GBK"/>
          <w:b/>
          <w:bCs/>
          <w:sz w:val="32"/>
          <w:szCs w:val="32"/>
        </w:rPr>
      </w:pPr>
      <w:r>
        <w:rPr>
          <w:rFonts w:ascii="Times New Roman" w:hAnsi="Times New Roman" w:eastAsia="方正仿宋_GBK"/>
          <w:b/>
          <w:bCs/>
          <w:sz w:val="32"/>
          <w:szCs w:val="32"/>
        </w:rPr>
        <w:t>绩效指标：</w:t>
      </w:r>
      <w:r>
        <w:rPr>
          <w:rFonts w:hint="eastAsia" w:ascii="Times New Roman" w:hAnsi="Times New Roman" w:eastAsia="方正仿宋_GBK"/>
          <w:bCs/>
          <w:sz w:val="32"/>
          <w:szCs w:val="32"/>
        </w:rPr>
        <w:t>按照市总安排及时做好2023年劳模体检工作</w:t>
      </w:r>
    </w:p>
    <w:p w14:paraId="3BE9158D">
      <w:pPr>
        <w:spacing w:line="584" w:lineRule="exact"/>
        <w:ind w:firstLine="643" w:firstLineChars="200"/>
        <w:rPr>
          <w:rFonts w:ascii="楷体_GB2312" w:eastAsia="楷体_GB2312" w:cs="Times New Roman"/>
          <w:b/>
          <w:sz w:val="32"/>
          <w:szCs w:val="32"/>
        </w:rPr>
      </w:pPr>
      <w:r>
        <w:rPr>
          <w:rFonts w:hint="eastAsia" w:ascii="楷体_GB2312" w:eastAsia="楷体_GB2312" w:cs="Times New Roman"/>
          <w:b/>
          <w:sz w:val="32"/>
          <w:szCs w:val="32"/>
        </w:rPr>
        <w:t>（三）工作保障措施</w:t>
      </w:r>
    </w:p>
    <w:p w14:paraId="31ABDA74">
      <w:pPr>
        <w:spacing w:line="580" w:lineRule="exact"/>
        <w:ind w:firstLine="630"/>
        <w:rPr>
          <w:rFonts w:hint="eastAsia" w:ascii="仿宋" w:hAnsi="仿宋" w:eastAsia="仿宋" w:cs="仿宋"/>
          <w:b w:val="0"/>
          <w:bCs w:val="0"/>
          <w:sz w:val="30"/>
          <w:szCs w:val="30"/>
          <w:lang w:eastAsia="zh-CN"/>
        </w:rPr>
      </w:pPr>
      <w:r>
        <w:rPr>
          <w:rFonts w:ascii="Times New Roman" w:hAnsi="Times New Roman" w:eastAsia="方正仿宋_GBK"/>
          <w:b/>
          <w:bCs/>
          <w:sz w:val="32"/>
          <w:szCs w:val="32"/>
        </w:rPr>
        <w:t>（一）</w:t>
      </w:r>
      <w:r>
        <w:rPr>
          <w:rFonts w:hint="eastAsia" w:ascii="仿宋" w:hAnsi="仿宋" w:eastAsia="仿宋" w:cs="仿宋"/>
          <w:b w:val="0"/>
          <w:bCs w:val="0"/>
          <w:sz w:val="30"/>
          <w:szCs w:val="30"/>
        </w:rPr>
        <w:t>我单位严格按照法律法规，进一步增强预算意识，完善专项资金的制度建设</w:t>
      </w:r>
      <w:r>
        <w:rPr>
          <w:rFonts w:hint="eastAsia" w:ascii="仿宋" w:hAnsi="仿宋" w:eastAsia="仿宋" w:cs="仿宋"/>
          <w:b w:val="0"/>
          <w:bCs w:val="0"/>
          <w:sz w:val="30"/>
          <w:szCs w:val="30"/>
          <w:lang w:eastAsia="zh-CN"/>
        </w:rPr>
        <w:t>。</w:t>
      </w:r>
    </w:p>
    <w:p w14:paraId="6F1FCCBE">
      <w:pPr>
        <w:spacing w:line="580" w:lineRule="exact"/>
        <w:ind w:firstLine="630"/>
        <w:rPr>
          <w:rFonts w:hint="eastAsia" w:ascii="仿宋" w:hAnsi="仿宋" w:eastAsia="仿宋" w:cs="仿宋"/>
          <w:b w:val="0"/>
          <w:bCs w:val="0"/>
          <w:sz w:val="30"/>
          <w:szCs w:val="30"/>
        </w:rPr>
      </w:pPr>
      <w:r>
        <w:rPr>
          <w:rFonts w:ascii="Times New Roman" w:hAnsi="Times New Roman" w:eastAsia="方正仿宋_GBK"/>
          <w:b/>
          <w:bCs/>
          <w:sz w:val="32"/>
          <w:szCs w:val="32"/>
        </w:rPr>
        <w:t>（</w:t>
      </w:r>
      <w:r>
        <w:rPr>
          <w:rFonts w:hint="eastAsia" w:ascii="Times New Roman" w:hAnsi="Times New Roman" w:eastAsia="方正仿宋_GBK"/>
          <w:b/>
          <w:bCs/>
          <w:sz w:val="32"/>
          <w:szCs w:val="32"/>
          <w:lang w:eastAsia="zh-CN"/>
        </w:rPr>
        <w:t>二</w:t>
      </w:r>
      <w:r>
        <w:rPr>
          <w:rFonts w:ascii="Times New Roman" w:hAnsi="Times New Roman" w:eastAsia="方正仿宋_GBK"/>
          <w:b/>
          <w:bCs/>
          <w:sz w:val="32"/>
          <w:szCs w:val="32"/>
        </w:rPr>
        <w:t>）</w:t>
      </w:r>
      <w:r>
        <w:rPr>
          <w:rFonts w:hint="eastAsia" w:ascii="仿宋" w:hAnsi="仿宋" w:eastAsia="仿宋" w:cs="仿宋"/>
          <w:b w:val="0"/>
          <w:bCs w:val="0"/>
          <w:sz w:val="30"/>
          <w:szCs w:val="30"/>
        </w:rPr>
        <w:t>加强支出管理。通过优化支出结构、编细编实预算、加快履行政府采购手续、尽快启动项目、及时支付资金、6月底前细化代编预算、按规定及时下达资金等多种措施，确保支出进度达标。</w:t>
      </w:r>
    </w:p>
    <w:p w14:paraId="7DD7AA7F">
      <w:pPr>
        <w:spacing w:line="580" w:lineRule="exact"/>
        <w:ind w:firstLine="630"/>
        <w:rPr>
          <w:rFonts w:hint="eastAsia" w:ascii="仿宋" w:hAnsi="仿宋" w:eastAsia="仿宋" w:cs="仿宋"/>
          <w:b w:val="0"/>
          <w:bCs w:val="0"/>
          <w:sz w:val="30"/>
          <w:szCs w:val="30"/>
        </w:rPr>
      </w:pPr>
      <w:r>
        <w:rPr>
          <w:rFonts w:ascii="Times New Roman" w:hAnsi="Times New Roman" w:eastAsia="方正仿宋_GBK"/>
          <w:b/>
          <w:bCs/>
          <w:sz w:val="32"/>
          <w:szCs w:val="32"/>
        </w:rPr>
        <w:t>（</w:t>
      </w:r>
      <w:r>
        <w:rPr>
          <w:rFonts w:hint="eastAsia" w:ascii="Times New Roman" w:hAnsi="Times New Roman" w:eastAsia="方正仿宋_GBK"/>
          <w:b/>
          <w:bCs/>
          <w:sz w:val="32"/>
          <w:szCs w:val="32"/>
          <w:lang w:eastAsia="zh-CN"/>
        </w:rPr>
        <w:t>三</w:t>
      </w:r>
      <w:r>
        <w:rPr>
          <w:rFonts w:ascii="Times New Roman" w:hAnsi="Times New Roman" w:eastAsia="方正仿宋_GBK"/>
          <w:b/>
          <w:bCs/>
          <w:sz w:val="32"/>
          <w:szCs w:val="32"/>
        </w:rPr>
        <w:t>）</w:t>
      </w:r>
      <w:r>
        <w:rPr>
          <w:rFonts w:hint="eastAsia" w:ascii="仿宋" w:hAnsi="仿宋" w:eastAsia="仿宋" w:cs="仿宋"/>
          <w:b w:val="0"/>
          <w:bCs w:val="0"/>
          <w:sz w:val="30"/>
          <w:szCs w:val="30"/>
        </w:rPr>
        <w:t>加强绩效运行监控。按要求开展绩效运行监控，发现问题及时采取措施，确保绩效目标如期保质实现。</w:t>
      </w:r>
    </w:p>
    <w:p w14:paraId="0B6634D9">
      <w:pPr>
        <w:spacing w:line="580" w:lineRule="exact"/>
        <w:ind w:firstLine="630"/>
        <w:rPr>
          <w:rFonts w:hint="eastAsia" w:ascii="仿宋" w:hAnsi="仿宋" w:eastAsia="仿宋" w:cs="仿宋"/>
          <w:b w:val="0"/>
          <w:bCs w:val="0"/>
          <w:sz w:val="30"/>
          <w:szCs w:val="30"/>
        </w:rPr>
      </w:pPr>
      <w:r>
        <w:rPr>
          <w:rFonts w:ascii="Times New Roman" w:hAnsi="Times New Roman" w:eastAsia="方正仿宋_GBK"/>
          <w:b/>
          <w:bCs/>
          <w:sz w:val="32"/>
          <w:szCs w:val="32"/>
        </w:rPr>
        <w:t>（</w:t>
      </w:r>
      <w:r>
        <w:rPr>
          <w:rFonts w:hint="eastAsia" w:ascii="Times New Roman" w:hAnsi="Times New Roman" w:eastAsia="方正仿宋_GBK"/>
          <w:b/>
          <w:bCs/>
          <w:sz w:val="32"/>
          <w:szCs w:val="32"/>
          <w:lang w:eastAsia="zh-CN"/>
        </w:rPr>
        <w:t>四</w:t>
      </w:r>
      <w:r>
        <w:rPr>
          <w:rFonts w:ascii="Times New Roman" w:hAnsi="Times New Roman" w:eastAsia="方正仿宋_GBK"/>
          <w:b/>
          <w:bCs/>
          <w:sz w:val="32"/>
          <w:szCs w:val="32"/>
        </w:rPr>
        <w:t>）</w:t>
      </w:r>
      <w:r>
        <w:rPr>
          <w:rFonts w:hint="eastAsia" w:ascii="仿宋" w:hAnsi="仿宋" w:eastAsia="仿宋" w:cs="仿宋"/>
          <w:b w:val="0"/>
          <w:bCs w:val="0"/>
          <w:sz w:val="30"/>
          <w:szCs w:val="30"/>
        </w:rPr>
        <w:t>做好绩效自评。按要求开展上年度部门预算绩效自评和重点评价工作，对评价中发现的问题及时整改，调整优化支出结构，提高财政资金使用效益。</w:t>
      </w:r>
    </w:p>
    <w:p w14:paraId="090A769E">
      <w:pPr>
        <w:spacing w:line="580" w:lineRule="exact"/>
        <w:ind w:firstLine="630"/>
        <w:rPr>
          <w:rFonts w:hint="eastAsia" w:ascii="仿宋" w:hAnsi="仿宋" w:eastAsia="仿宋" w:cs="仿宋"/>
          <w:b w:val="0"/>
          <w:bCs w:val="0"/>
          <w:sz w:val="30"/>
          <w:szCs w:val="30"/>
        </w:rPr>
      </w:pPr>
      <w:r>
        <w:rPr>
          <w:rFonts w:ascii="Times New Roman" w:hAnsi="Times New Roman" w:eastAsia="方正仿宋_GBK"/>
          <w:b/>
          <w:bCs/>
          <w:sz w:val="32"/>
          <w:szCs w:val="32"/>
        </w:rPr>
        <w:t>（</w:t>
      </w:r>
      <w:r>
        <w:rPr>
          <w:rFonts w:hint="eastAsia" w:ascii="Times New Roman" w:hAnsi="Times New Roman" w:eastAsia="方正仿宋_GBK"/>
          <w:b/>
          <w:bCs/>
          <w:sz w:val="32"/>
          <w:szCs w:val="32"/>
          <w:lang w:eastAsia="zh-CN"/>
        </w:rPr>
        <w:t>五</w:t>
      </w:r>
      <w:r>
        <w:rPr>
          <w:rFonts w:ascii="Times New Roman" w:hAnsi="Times New Roman" w:eastAsia="方正仿宋_GBK"/>
          <w:b/>
          <w:bCs/>
          <w:sz w:val="32"/>
          <w:szCs w:val="32"/>
        </w:rPr>
        <w:t>）</w:t>
      </w:r>
      <w:r>
        <w:rPr>
          <w:rFonts w:hint="eastAsia" w:ascii="仿宋" w:hAnsi="仿宋" w:eastAsia="仿宋" w:cs="仿宋"/>
          <w:b w:val="0"/>
          <w:bCs w:val="0"/>
          <w:sz w:val="30"/>
          <w:szCs w:val="30"/>
        </w:rPr>
        <w:t>规范财务资产管理。完善财务管理制度，严格审批程序，加强固定资产登记、使用和报废处置管理，做到支出合理，物尽其用。</w:t>
      </w:r>
    </w:p>
    <w:p w14:paraId="05923885">
      <w:pPr>
        <w:spacing w:line="580" w:lineRule="exact"/>
        <w:ind w:firstLine="630"/>
        <w:rPr>
          <w:rFonts w:hint="eastAsia" w:ascii="仿宋" w:hAnsi="仿宋" w:eastAsia="仿宋" w:cs="仿宋"/>
          <w:b w:val="0"/>
          <w:bCs w:val="0"/>
          <w:sz w:val="30"/>
          <w:szCs w:val="30"/>
        </w:rPr>
      </w:pPr>
      <w:r>
        <w:rPr>
          <w:rFonts w:ascii="Times New Roman" w:hAnsi="Times New Roman" w:eastAsia="方正仿宋_GBK"/>
          <w:b/>
          <w:bCs/>
          <w:sz w:val="32"/>
          <w:szCs w:val="32"/>
        </w:rPr>
        <w:t>（</w:t>
      </w:r>
      <w:r>
        <w:rPr>
          <w:rFonts w:hint="eastAsia" w:ascii="Times New Roman" w:hAnsi="Times New Roman" w:eastAsia="方正仿宋_GBK"/>
          <w:b/>
          <w:bCs/>
          <w:sz w:val="32"/>
          <w:szCs w:val="32"/>
          <w:lang w:eastAsia="zh-CN"/>
        </w:rPr>
        <w:t>六</w:t>
      </w:r>
      <w:r>
        <w:rPr>
          <w:rFonts w:ascii="Times New Roman" w:hAnsi="Times New Roman" w:eastAsia="方正仿宋_GBK"/>
          <w:b/>
          <w:bCs/>
          <w:sz w:val="32"/>
          <w:szCs w:val="32"/>
        </w:rPr>
        <w:t>）</w:t>
      </w:r>
      <w:r>
        <w:rPr>
          <w:rFonts w:hint="eastAsia" w:ascii="仿宋" w:hAnsi="仿宋" w:eastAsia="仿宋" w:cs="仿宋"/>
          <w:b w:val="0"/>
          <w:bCs w:val="0"/>
          <w:sz w:val="30"/>
          <w:szCs w:val="30"/>
        </w:rPr>
        <w:t>加强内部监督。加强内部监督制度建设，对绩效运行情况、重大支出决策、对外投资、资产处置及其他重要经济业务事项的决策和执行进行督导，对会计资料进行内部审计，并配合做好审计、财政监督等外部监督工作，确保财政资金安全有效。</w:t>
      </w:r>
    </w:p>
    <w:p w14:paraId="434D0BBC">
      <w:pPr>
        <w:overflowPunct w:val="0"/>
        <w:spacing w:line="584" w:lineRule="exact"/>
        <w:ind w:firstLine="630"/>
        <w:rPr>
          <w:rFonts w:hint="eastAsia" w:ascii="仿宋" w:hAnsi="仿宋" w:eastAsia="仿宋" w:cs="仿宋"/>
          <w:b w:val="0"/>
          <w:bCs w:val="0"/>
          <w:sz w:val="30"/>
          <w:szCs w:val="30"/>
        </w:rPr>
      </w:pPr>
      <w:r>
        <w:rPr>
          <w:rFonts w:ascii="Times New Roman" w:hAnsi="Times New Roman" w:eastAsia="方正仿宋_GBK"/>
          <w:b/>
          <w:bCs/>
          <w:sz w:val="32"/>
          <w:szCs w:val="32"/>
        </w:rPr>
        <w:t>（</w:t>
      </w:r>
      <w:r>
        <w:rPr>
          <w:rFonts w:hint="eastAsia" w:ascii="Times New Roman" w:hAnsi="Times New Roman" w:eastAsia="方正仿宋_GBK"/>
          <w:b/>
          <w:bCs/>
          <w:sz w:val="32"/>
          <w:szCs w:val="32"/>
          <w:lang w:eastAsia="zh-CN"/>
        </w:rPr>
        <w:t>七</w:t>
      </w:r>
      <w:r>
        <w:rPr>
          <w:rFonts w:ascii="Times New Roman" w:hAnsi="Times New Roman" w:eastAsia="方正仿宋_GBK"/>
          <w:b/>
          <w:bCs/>
          <w:sz w:val="32"/>
          <w:szCs w:val="32"/>
        </w:rPr>
        <w:t>）</w:t>
      </w:r>
      <w:r>
        <w:rPr>
          <w:rFonts w:hint="eastAsia" w:ascii="仿宋" w:hAnsi="仿宋" w:eastAsia="仿宋" w:cs="仿宋"/>
          <w:b w:val="0"/>
          <w:bCs w:val="0"/>
          <w:sz w:val="30"/>
          <w:szCs w:val="30"/>
        </w:rPr>
        <w:t>加强宣传培训调研等。加强人员培训，提高本部门职工业务素质；加强调研，提出优化财政资金配置、提高资金使用效益的意见；加大宣传力度，强化预算绩效管理意识，促进预算绩效管理水平进一步提升</w:t>
      </w:r>
      <w:r>
        <w:rPr>
          <w:rFonts w:hint="eastAsia" w:ascii="仿宋" w:hAnsi="仿宋" w:eastAsia="仿宋" w:cs="仿宋"/>
          <w:b w:val="0"/>
          <w:bCs w:val="0"/>
          <w:sz w:val="30"/>
          <w:szCs w:val="30"/>
          <w:lang w:eastAsia="zh-CN"/>
        </w:rPr>
        <w:t>，</w:t>
      </w:r>
      <w:r>
        <w:rPr>
          <w:rFonts w:hint="eastAsia" w:ascii="仿宋" w:hAnsi="仿宋" w:eastAsia="仿宋" w:cs="仿宋"/>
          <w:b w:val="0"/>
          <w:bCs w:val="0"/>
          <w:sz w:val="30"/>
          <w:szCs w:val="30"/>
        </w:rPr>
        <w:t>为全年预算绩效目标的实现奠定制度基础。</w:t>
      </w:r>
    </w:p>
    <w:p w14:paraId="6F187B27">
      <w:pPr>
        <w:overflowPunct w:val="0"/>
        <w:adjustRightInd w:val="0"/>
        <w:snapToGrid w:val="0"/>
        <w:spacing w:after="156"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（四）部门整体支出绩效指标</w:t>
      </w:r>
    </w:p>
    <w:tbl>
      <w:tblPr>
        <w:tblStyle w:val="8"/>
        <w:tblW w:w="88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558"/>
        <w:gridCol w:w="825"/>
        <w:gridCol w:w="897"/>
        <w:gridCol w:w="2172"/>
        <w:gridCol w:w="1483"/>
        <w:gridCol w:w="543"/>
        <w:gridCol w:w="488"/>
        <w:gridCol w:w="573"/>
        <w:gridCol w:w="1277"/>
      </w:tblGrid>
      <w:tr w14:paraId="6A88F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26" w:hRule="atLeast"/>
          <w:tblHeader/>
          <w:jc w:val="center"/>
        </w:trPr>
        <w:tc>
          <w:tcPr>
            <w:tcW w:w="558" w:type="dxa"/>
            <w:vMerge w:val="restart"/>
            <w:tcBorders>
              <w:tl2br w:val="nil"/>
              <w:tr2bl w:val="nil"/>
            </w:tcBorders>
            <w:vAlign w:val="center"/>
          </w:tcPr>
          <w:p w14:paraId="65ECE281">
            <w:pPr>
              <w:widowControl/>
              <w:adjustRightInd w:val="0"/>
              <w:snapToGrid w:val="0"/>
              <w:jc w:val="center"/>
              <w:rPr>
                <w:rFonts w:ascii="方正书宋_GBK" w:eastAsia="方正书宋_GBK"/>
                <w:b/>
              </w:rPr>
            </w:pPr>
            <w:r>
              <w:rPr>
                <w:rFonts w:ascii="方正书宋_GBK" w:eastAsia="方正书宋_GBK"/>
                <w:b/>
              </w:rPr>
              <w:t>一级指标</w:t>
            </w:r>
          </w:p>
        </w:tc>
        <w:tc>
          <w:tcPr>
            <w:tcW w:w="825" w:type="dxa"/>
            <w:vMerge w:val="restart"/>
            <w:tcBorders>
              <w:tl2br w:val="nil"/>
              <w:tr2bl w:val="nil"/>
            </w:tcBorders>
            <w:vAlign w:val="center"/>
          </w:tcPr>
          <w:p w14:paraId="057553D0">
            <w:pPr>
              <w:widowControl/>
              <w:adjustRightInd w:val="0"/>
              <w:snapToGrid w:val="0"/>
              <w:jc w:val="center"/>
              <w:rPr>
                <w:rFonts w:ascii="方正书宋_GBK" w:eastAsia="方正书宋_GBK"/>
                <w:b/>
              </w:rPr>
            </w:pPr>
            <w:r>
              <w:rPr>
                <w:rFonts w:ascii="方正书宋_GBK" w:eastAsia="方正书宋_GBK"/>
                <w:b/>
              </w:rPr>
              <w:t>二级</w:t>
            </w:r>
          </w:p>
          <w:p w14:paraId="11E7A259">
            <w:pPr>
              <w:widowControl/>
              <w:adjustRightInd w:val="0"/>
              <w:snapToGrid w:val="0"/>
              <w:jc w:val="center"/>
              <w:rPr>
                <w:rFonts w:ascii="方正书宋_GBK" w:eastAsia="方正书宋_GBK"/>
                <w:b/>
              </w:rPr>
            </w:pPr>
            <w:r>
              <w:rPr>
                <w:rFonts w:ascii="方正书宋_GBK" w:eastAsia="方正书宋_GBK"/>
                <w:b/>
              </w:rPr>
              <w:t>指标</w:t>
            </w:r>
          </w:p>
        </w:tc>
        <w:tc>
          <w:tcPr>
            <w:tcW w:w="897" w:type="dxa"/>
            <w:vMerge w:val="restart"/>
            <w:tcBorders>
              <w:tl2br w:val="nil"/>
              <w:tr2bl w:val="nil"/>
            </w:tcBorders>
            <w:vAlign w:val="center"/>
          </w:tcPr>
          <w:p w14:paraId="6465615B">
            <w:pPr>
              <w:widowControl/>
              <w:adjustRightInd w:val="0"/>
              <w:snapToGrid w:val="0"/>
              <w:jc w:val="center"/>
              <w:rPr>
                <w:rFonts w:ascii="方正书宋_GBK" w:eastAsia="方正书宋_GBK"/>
                <w:b/>
              </w:rPr>
            </w:pPr>
            <w:r>
              <w:rPr>
                <w:rFonts w:ascii="方正书宋_GBK" w:eastAsia="方正书宋_GBK"/>
                <w:b/>
              </w:rPr>
              <w:t>三级</w:t>
            </w:r>
          </w:p>
          <w:p w14:paraId="6DAB8DE4">
            <w:pPr>
              <w:widowControl/>
              <w:adjustRightInd w:val="0"/>
              <w:snapToGrid w:val="0"/>
              <w:jc w:val="center"/>
              <w:rPr>
                <w:rFonts w:ascii="方正书宋_GBK" w:eastAsia="方正书宋_GBK"/>
                <w:b/>
              </w:rPr>
            </w:pPr>
            <w:r>
              <w:rPr>
                <w:rFonts w:ascii="方正书宋_GBK" w:eastAsia="方正书宋_GBK"/>
                <w:b/>
              </w:rPr>
              <w:t>指标</w:t>
            </w:r>
          </w:p>
        </w:tc>
        <w:tc>
          <w:tcPr>
            <w:tcW w:w="2172" w:type="dxa"/>
            <w:vMerge w:val="restart"/>
            <w:tcBorders>
              <w:tl2br w:val="nil"/>
              <w:tr2bl w:val="nil"/>
            </w:tcBorders>
            <w:vAlign w:val="center"/>
          </w:tcPr>
          <w:p w14:paraId="70897A1A">
            <w:pPr>
              <w:widowControl/>
              <w:adjustRightInd w:val="0"/>
              <w:snapToGrid w:val="0"/>
              <w:jc w:val="center"/>
              <w:rPr>
                <w:rFonts w:ascii="方正书宋_GBK" w:eastAsia="方正书宋_GBK"/>
                <w:b/>
              </w:rPr>
            </w:pPr>
            <w:r>
              <w:rPr>
                <w:rFonts w:ascii="方正书宋_GBK" w:eastAsia="方正书宋_GBK"/>
                <w:b/>
              </w:rPr>
              <w:t>评（扣）分标准</w:t>
            </w:r>
          </w:p>
        </w:tc>
        <w:tc>
          <w:tcPr>
            <w:tcW w:w="1483" w:type="dxa"/>
            <w:vMerge w:val="restart"/>
            <w:tcBorders>
              <w:tl2br w:val="nil"/>
              <w:tr2bl w:val="nil"/>
            </w:tcBorders>
            <w:vAlign w:val="center"/>
          </w:tcPr>
          <w:p w14:paraId="5E4447F1">
            <w:pPr>
              <w:widowControl/>
              <w:adjustRightInd w:val="0"/>
              <w:snapToGrid w:val="0"/>
              <w:jc w:val="center"/>
              <w:rPr>
                <w:rFonts w:ascii="方正书宋_GBK" w:eastAsia="方正书宋_GBK"/>
                <w:b/>
              </w:rPr>
            </w:pPr>
            <w:r>
              <w:rPr>
                <w:rFonts w:ascii="方正书宋_GBK" w:eastAsia="方正书宋_GBK"/>
                <w:b/>
              </w:rPr>
              <w:t>绩效指标</w:t>
            </w:r>
          </w:p>
          <w:p w14:paraId="32C00AAC">
            <w:pPr>
              <w:widowControl/>
              <w:adjustRightInd w:val="0"/>
              <w:snapToGrid w:val="0"/>
              <w:jc w:val="center"/>
              <w:rPr>
                <w:rFonts w:ascii="方正书宋_GBK" w:eastAsia="方正书宋_GBK"/>
                <w:b/>
              </w:rPr>
            </w:pPr>
            <w:r>
              <w:rPr>
                <w:rFonts w:ascii="方正书宋_GBK" w:eastAsia="方正书宋_GBK"/>
                <w:b/>
              </w:rPr>
              <w:t>描述</w:t>
            </w:r>
          </w:p>
        </w:tc>
        <w:tc>
          <w:tcPr>
            <w:tcW w:w="1604" w:type="dxa"/>
            <w:gridSpan w:val="3"/>
            <w:tcBorders>
              <w:tl2br w:val="nil"/>
              <w:tr2bl w:val="nil"/>
            </w:tcBorders>
            <w:vAlign w:val="center"/>
          </w:tcPr>
          <w:p w14:paraId="7F59D57A">
            <w:pPr>
              <w:widowControl/>
              <w:adjustRightInd w:val="0"/>
              <w:snapToGrid w:val="0"/>
              <w:jc w:val="center"/>
              <w:rPr>
                <w:rFonts w:ascii="方正书宋_GBK" w:eastAsia="方正书宋_GBK"/>
                <w:b/>
              </w:rPr>
            </w:pPr>
            <w:r>
              <w:rPr>
                <w:rFonts w:ascii="方正书宋_GBK" w:eastAsia="方正书宋_GBK"/>
                <w:b/>
              </w:rPr>
              <w:t>指标值</w:t>
            </w:r>
          </w:p>
        </w:tc>
        <w:tc>
          <w:tcPr>
            <w:tcW w:w="1277" w:type="dxa"/>
            <w:vMerge w:val="restart"/>
            <w:tcBorders>
              <w:tl2br w:val="nil"/>
              <w:tr2bl w:val="nil"/>
            </w:tcBorders>
            <w:vAlign w:val="center"/>
          </w:tcPr>
          <w:p w14:paraId="14138520">
            <w:pPr>
              <w:widowControl/>
              <w:adjustRightInd w:val="0"/>
              <w:snapToGrid w:val="0"/>
              <w:jc w:val="center"/>
              <w:rPr>
                <w:rFonts w:ascii="方正书宋_GBK" w:eastAsia="方正书宋_GBK"/>
                <w:b/>
              </w:rPr>
            </w:pPr>
            <w:r>
              <w:rPr>
                <w:rFonts w:ascii="方正书宋_GBK" w:eastAsia="方正书宋_GBK"/>
                <w:b/>
              </w:rPr>
              <w:t>指标值</w:t>
            </w:r>
          </w:p>
          <w:p w14:paraId="660A4DF5">
            <w:pPr>
              <w:widowControl/>
              <w:adjustRightInd w:val="0"/>
              <w:snapToGrid w:val="0"/>
              <w:jc w:val="center"/>
              <w:rPr>
                <w:rFonts w:ascii="方正书宋_GBK" w:eastAsia="方正书宋_GBK"/>
                <w:b/>
              </w:rPr>
            </w:pPr>
            <w:r>
              <w:rPr>
                <w:rFonts w:ascii="方正书宋_GBK" w:eastAsia="方正书宋_GBK"/>
                <w:b/>
              </w:rPr>
              <w:t>确定依据</w:t>
            </w:r>
          </w:p>
        </w:tc>
      </w:tr>
      <w:tr w14:paraId="7127E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33" w:hRule="atLeast"/>
          <w:tblHeader/>
          <w:jc w:val="center"/>
        </w:trPr>
        <w:tc>
          <w:tcPr>
            <w:tcW w:w="558" w:type="dxa"/>
            <w:vMerge w:val="continue"/>
            <w:tcBorders>
              <w:tl2br w:val="nil"/>
              <w:tr2bl w:val="nil"/>
            </w:tcBorders>
            <w:vAlign w:val="center"/>
          </w:tcPr>
          <w:p w14:paraId="56E5A578"/>
        </w:tc>
        <w:tc>
          <w:tcPr>
            <w:tcW w:w="825" w:type="dxa"/>
            <w:vMerge w:val="continue"/>
            <w:tcBorders>
              <w:tl2br w:val="nil"/>
              <w:tr2bl w:val="nil"/>
            </w:tcBorders>
            <w:vAlign w:val="center"/>
          </w:tcPr>
          <w:p w14:paraId="18114FFF"/>
        </w:tc>
        <w:tc>
          <w:tcPr>
            <w:tcW w:w="897" w:type="dxa"/>
            <w:vMerge w:val="continue"/>
            <w:tcBorders>
              <w:tl2br w:val="nil"/>
              <w:tr2bl w:val="nil"/>
            </w:tcBorders>
            <w:vAlign w:val="center"/>
          </w:tcPr>
          <w:p w14:paraId="4CB53058"/>
        </w:tc>
        <w:tc>
          <w:tcPr>
            <w:tcW w:w="2172" w:type="dxa"/>
            <w:vMerge w:val="continue"/>
            <w:tcBorders>
              <w:tl2br w:val="nil"/>
              <w:tr2bl w:val="nil"/>
            </w:tcBorders>
            <w:vAlign w:val="center"/>
          </w:tcPr>
          <w:p w14:paraId="634EAD82"/>
        </w:tc>
        <w:tc>
          <w:tcPr>
            <w:tcW w:w="1483" w:type="dxa"/>
            <w:vMerge w:val="continue"/>
            <w:tcBorders>
              <w:tl2br w:val="nil"/>
              <w:tr2bl w:val="nil"/>
            </w:tcBorders>
            <w:vAlign w:val="center"/>
          </w:tcPr>
          <w:p w14:paraId="75CADB93"/>
        </w:tc>
        <w:tc>
          <w:tcPr>
            <w:tcW w:w="543" w:type="dxa"/>
            <w:tcBorders>
              <w:tl2br w:val="nil"/>
              <w:tr2bl w:val="nil"/>
            </w:tcBorders>
            <w:vAlign w:val="center"/>
          </w:tcPr>
          <w:p w14:paraId="0BDCFA4C">
            <w:pPr>
              <w:widowControl/>
              <w:adjustRightInd w:val="0"/>
              <w:snapToGrid w:val="0"/>
              <w:jc w:val="center"/>
              <w:rPr>
                <w:rFonts w:ascii="方正书宋_GBK" w:eastAsia="方正书宋_GBK"/>
                <w:b/>
              </w:rPr>
            </w:pPr>
            <w:r>
              <w:rPr>
                <w:rFonts w:ascii="方正书宋_GBK" w:eastAsia="方正书宋_GBK"/>
                <w:b/>
              </w:rPr>
              <w:t>符号</w:t>
            </w:r>
          </w:p>
        </w:tc>
        <w:tc>
          <w:tcPr>
            <w:tcW w:w="488" w:type="dxa"/>
            <w:tcBorders>
              <w:tl2br w:val="nil"/>
              <w:tr2bl w:val="nil"/>
            </w:tcBorders>
            <w:vAlign w:val="center"/>
          </w:tcPr>
          <w:p w14:paraId="29D9AB94">
            <w:pPr>
              <w:widowControl/>
              <w:adjustRightInd w:val="0"/>
              <w:snapToGrid w:val="0"/>
              <w:jc w:val="center"/>
              <w:rPr>
                <w:rFonts w:ascii="方正书宋_GBK" w:eastAsia="方正书宋_GBK"/>
                <w:b/>
              </w:rPr>
            </w:pPr>
            <w:r>
              <w:rPr>
                <w:rFonts w:ascii="方正书宋_GBK" w:eastAsia="方正书宋_GBK"/>
                <w:b/>
              </w:rPr>
              <w:t>值</w:t>
            </w:r>
          </w:p>
        </w:tc>
        <w:tc>
          <w:tcPr>
            <w:tcW w:w="573" w:type="dxa"/>
            <w:tcBorders>
              <w:tl2br w:val="nil"/>
              <w:tr2bl w:val="nil"/>
            </w:tcBorders>
            <w:vAlign w:val="center"/>
          </w:tcPr>
          <w:p w14:paraId="78D18E28">
            <w:pPr>
              <w:widowControl/>
              <w:adjustRightInd w:val="0"/>
              <w:snapToGrid w:val="0"/>
              <w:jc w:val="center"/>
              <w:rPr>
                <w:rFonts w:ascii="方正书宋_GBK" w:eastAsia="方正书宋_GBK"/>
                <w:b/>
              </w:rPr>
            </w:pPr>
            <w:r>
              <w:rPr>
                <w:rFonts w:ascii="方正书宋_GBK" w:eastAsia="方正书宋_GBK"/>
                <w:b/>
              </w:rPr>
              <w:t>单位</w:t>
            </w:r>
          </w:p>
        </w:tc>
        <w:tc>
          <w:tcPr>
            <w:tcW w:w="1277" w:type="dxa"/>
            <w:vMerge w:val="continue"/>
            <w:tcBorders>
              <w:tl2br w:val="nil"/>
              <w:tr2bl w:val="nil"/>
            </w:tcBorders>
            <w:vAlign w:val="center"/>
          </w:tcPr>
          <w:p w14:paraId="3D733C55"/>
        </w:tc>
      </w:tr>
      <w:tr w14:paraId="44ECD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94" w:hRule="atLeast"/>
          <w:jc w:val="center"/>
        </w:trPr>
        <w:tc>
          <w:tcPr>
            <w:tcW w:w="558" w:type="dxa"/>
            <w:vMerge w:val="restart"/>
            <w:tcBorders>
              <w:tl2br w:val="nil"/>
              <w:tr2bl w:val="nil"/>
            </w:tcBorders>
            <w:vAlign w:val="center"/>
          </w:tcPr>
          <w:p w14:paraId="399A751E">
            <w:pPr>
              <w:widowControl/>
              <w:adjustRightInd w:val="0"/>
              <w:snapToGrid w:val="0"/>
              <w:jc w:val="center"/>
              <w:rPr>
                <w:rFonts w:ascii="方正书宋_GBK" w:eastAsia="方正书宋_GBK"/>
              </w:rPr>
            </w:pPr>
            <w:r>
              <w:rPr>
                <w:rFonts w:ascii="方正书宋_GBK" w:eastAsia="方正书宋_GBK"/>
              </w:rPr>
              <w:t>部门产出</w:t>
            </w:r>
          </w:p>
        </w:tc>
        <w:tc>
          <w:tcPr>
            <w:tcW w:w="825" w:type="dxa"/>
            <w:tcBorders>
              <w:tl2br w:val="nil"/>
              <w:tr2bl w:val="nil"/>
            </w:tcBorders>
            <w:vAlign w:val="center"/>
          </w:tcPr>
          <w:p w14:paraId="3C0CEC2F">
            <w:pPr>
              <w:widowControl/>
              <w:adjustRightInd w:val="0"/>
              <w:snapToGrid w:val="0"/>
              <w:jc w:val="center"/>
              <w:rPr>
                <w:rFonts w:ascii="方正书宋_GBK" w:eastAsia="方正书宋_GBK"/>
              </w:rPr>
            </w:pPr>
            <w:r>
              <w:rPr>
                <w:rFonts w:ascii="方正书宋_GBK" w:eastAsia="方正书宋_GBK"/>
              </w:rPr>
              <w:t>数量</w:t>
            </w:r>
          </w:p>
        </w:tc>
        <w:tc>
          <w:tcPr>
            <w:tcW w:w="897" w:type="dxa"/>
            <w:tcBorders>
              <w:tl2br w:val="nil"/>
              <w:tr2bl w:val="nil"/>
            </w:tcBorders>
            <w:vAlign w:val="center"/>
          </w:tcPr>
          <w:p w14:paraId="20548C46">
            <w:pPr>
              <w:pStyle w:val="18"/>
              <w:rPr>
                <w:rFonts w:ascii="方正书宋_GBK" w:eastAsia="方正书宋_GBK"/>
              </w:rPr>
            </w:pPr>
            <w:r>
              <w:rPr>
                <w:rFonts w:hint="eastAsia"/>
              </w:rPr>
              <w:t>资助困难家庭或个人完成率</w:t>
            </w:r>
          </w:p>
        </w:tc>
        <w:tc>
          <w:tcPr>
            <w:tcW w:w="2172" w:type="dxa"/>
            <w:tcBorders>
              <w:tl2br w:val="nil"/>
              <w:tr2bl w:val="nil"/>
            </w:tcBorders>
            <w:vAlign w:val="center"/>
          </w:tcPr>
          <w:p w14:paraId="0E942C6B">
            <w:pPr>
              <w:widowControl/>
              <w:adjustRightInd w:val="0"/>
              <w:snapToGrid w:val="0"/>
              <w:rPr>
                <w:rFonts w:ascii="方正书宋_GBK" w:eastAsia="方正书宋_GBK"/>
              </w:rPr>
            </w:pPr>
            <w:r>
              <w:rPr>
                <w:rFonts w:hint="eastAsia" w:ascii="方正书宋_GBK" w:eastAsia="方正书宋_GBK"/>
              </w:rPr>
              <w:t>按完成</w:t>
            </w:r>
            <w:r>
              <w:rPr>
                <w:rFonts w:hint="eastAsia" w:ascii="方正书宋_GBK" w:eastAsia="方正书宋_GBK"/>
                <w:lang w:eastAsia="zh-CN"/>
              </w:rPr>
              <w:t>比例</w:t>
            </w:r>
            <w:r>
              <w:rPr>
                <w:rFonts w:hint="eastAsia" w:ascii="方正书宋_GBK" w:eastAsia="方正书宋_GBK"/>
              </w:rPr>
              <w:t>得分</w:t>
            </w:r>
          </w:p>
        </w:tc>
        <w:tc>
          <w:tcPr>
            <w:tcW w:w="1483" w:type="dxa"/>
            <w:tcBorders>
              <w:tl2br w:val="nil"/>
              <w:tr2bl w:val="nil"/>
            </w:tcBorders>
            <w:vAlign w:val="center"/>
          </w:tcPr>
          <w:p w14:paraId="17C829B2">
            <w:pPr>
              <w:pStyle w:val="18"/>
              <w:rPr>
                <w:rFonts w:ascii="方正书宋_GBK" w:eastAsia="方正书宋_GBK"/>
              </w:rPr>
            </w:pPr>
            <w:r>
              <w:rPr>
                <w:rFonts w:hint="eastAsia"/>
              </w:rPr>
              <w:t>困难职工人数</w:t>
            </w:r>
          </w:p>
        </w:tc>
        <w:tc>
          <w:tcPr>
            <w:tcW w:w="543" w:type="dxa"/>
            <w:tcBorders>
              <w:tl2br w:val="nil"/>
              <w:tr2bl w:val="nil"/>
            </w:tcBorders>
            <w:vAlign w:val="center"/>
          </w:tcPr>
          <w:p w14:paraId="4DA90CB8">
            <w:pPr>
              <w:widowControl/>
              <w:adjustRightInd w:val="0"/>
              <w:snapToGrid w:val="0"/>
              <w:jc w:val="center"/>
              <w:rPr>
                <w:rFonts w:ascii="方正书宋_GBK" w:eastAsia="方正书宋_GBK"/>
              </w:rPr>
            </w:pPr>
            <w:r>
              <w:rPr>
                <w:rFonts w:hint="eastAsia" w:ascii="方正书宋_GBK" w:eastAsia="方正书宋_GBK"/>
              </w:rPr>
              <w:t>≤</w:t>
            </w:r>
          </w:p>
        </w:tc>
        <w:tc>
          <w:tcPr>
            <w:tcW w:w="488" w:type="dxa"/>
            <w:tcBorders>
              <w:tl2br w:val="nil"/>
              <w:tr2bl w:val="nil"/>
            </w:tcBorders>
            <w:vAlign w:val="center"/>
          </w:tcPr>
          <w:p w14:paraId="13B1EEFA">
            <w:pPr>
              <w:widowControl/>
              <w:adjustRightInd w:val="0"/>
              <w:snapToGrid w:val="0"/>
              <w:jc w:val="center"/>
              <w:rPr>
                <w:rFonts w:hint="default" w:ascii="方正书宋_GBK" w:eastAsia="方正书宋_GBK"/>
                <w:lang w:val="en-US" w:eastAsia="zh-CN"/>
              </w:rPr>
            </w:pPr>
            <w:r>
              <w:rPr>
                <w:rFonts w:hint="eastAsia" w:ascii="方正书宋_GBK" w:eastAsia="方正书宋_GBK"/>
                <w:lang w:val="en-US" w:eastAsia="zh-CN"/>
              </w:rPr>
              <w:t>200</w:t>
            </w:r>
          </w:p>
        </w:tc>
        <w:tc>
          <w:tcPr>
            <w:tcW w:w="573" w:type="dxa"/>
            <w:tcBorders>
              <w:tl2br w:val="nil"/>
              <w:tr2bl w:val="nil"/>
            </w:tcBorders>
            <w:vAlign w:val="center"/>
          </w:tcPr>
          <w:p w14:paraId="75AC0018">
            <w:pPr>
              <w:widowControl/>
              <w:adjustRightInd w:val="0"/>
              <w:snapToGrid w:val="0"/>
              <w:jc w:val="center"/>
              <w:rPr>
                <w:rFonts w:ascii="方正书宋_GBK" w:eastAsia="方正书宋_GBK"/>
              </w:rPr>
            </w:pPr>
            <w:r>
              <w:rPr>
                <w:rFonts w:hint="eastAsia" w:ascii="方正书宋_GBK" w:eastAsia="方正书宋_GBK"/>
              </w:rPr>
              <w:t>人</w:t>
            </w:r>
          </w:p>
        </w:tc>
        <w:tc>
          <w:tcPr>
            <w:tcW w:w="1277" w:type="dxa"/>
            <w:tcBorders>
              <w:tl2br w:val="nil"/>
              <w:tr2bl w:val="nil"/>
            </w:tcBorders>
            <w:vAlign w:val="center"/>
          </w:tcPr>
          <w:p w14:paraId="11E53AA8">
            <w:pPr>
              <w:widowControl/>
              <w:adjustRightInd w:val="0"/>
              <w:snapToGrid w:val="0"/>
              <w:rPr>
                <w:rFonts w:ascii="方正书宋_GBK" w:eastAsia="方正书宋_GBK"/>
              </w:rPr>
            </w:pPr>
            <w:r>
              <w:rPr>
                <w:rFonts w:hint="eastAsia" w:ascii="方正书宋_GBK" w:eastAsia="方正书宋_GBK"/>
                <w:lang w:eastAsia="zh-CN"/>
              </w:rPr>
              <w:t>地方</w:t>
            </w:r>
            <w:r>
              <w:rPr>
                <w:rFonts w:hint="eastAsia" w:ascii="方正书宋_GBK" w:eastAsia="方正书宋_GBK"/>
              </w:rPr>
              <w:t>财政专项资金分配表</w:t>
            </w:r>
          </w:p>
        </w:tc>
      </w:tr>
      <w:tr w14:paraId="49D3D9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14:paraId="6805CA1D"/>
        </w:tc>
        <w:tc>
          <w:tcPr>
            <w:tcW w:w="825" w:type="dxa"/>
            <w:tcBorders>
              <w:tl2br w:val="nil"/>
              <w:tr2bl w:val="nil"/>
            </w:tcBorders>
            <w:vAlign w:val="center"/>
          </w:tcPr>
          <w:p w14:paraId="23CD0477">
            <w:pPr>
              <w:widowControl/>
              <w:adjustRightInd w:val="0"/>
              <w:snapToGrid w:val="0"/>
              <w:jc w:val="center"/>
              <w:rPr>
                <w:rFonts w:ascii="方正书宋_GBK" w:eastAsia="方正书宋_GBK"/>
              </w:rPr>
            </w:pPr>
            <w:r>
              <w:rPr>
                <w:rFonts w:ascii="方正书宋_GBK" w:eastAsia="方正书宋_GBK"/>
              </w:rPr>
              <w:t>质量</w:t>
            </w:r>
          </w:p>
        </w:tc>
        <w:tc>
          <w:tcPr>
            <w:tcW w:w="897" w:type="dxa"/>
            <w:tcBorders>
              <w:tl2br w:val="nil"/>
              <w:tr2bl w:val="nil"/>
            </w:tcBorders>
            <w:vAlign w:val="center"/>
          </w:tcPr>
          <w:p w14:paraId="2288D7CB">
            <w:pPr>
              <w:pStyle w:val="18"/>
              <w:rPr>
                <w:rFonts w:ascii="方正书宋_GBK" w:eastAsia="方正书宋_GBK"/>
              </w:rPr>
            </w:pPr>
            <w:r>
              <w:rPr>
                <w:rFonts w:hint="eastAsia"/>
              </w:rPr>
              <w:t>“亲情关爱”帮扶建档率</w:t>
            </w:r>
          </w:p>
        </w:tc>
        <w:tc>
          <w:tcPr>
            <w:tcW w:w="2172" w:type="dxa"/>
            <w:tcBorders>
              <w:tl2br w:val="nil"/>
              <w:tr2bl w:val="nil"/>
            </w:tcBorders>
            <w:vAlign w:val="center"/>
          </w:tcPr>
          <w:p w14:paraId="49D0F020">
            <w:pPr>
              <w:widowControl/>
              <w:adjustRightInd w:val="0"/>
              <w:snapToGrid w:val="0"/>
              <w:rPr>
                <w:rFonts w:ascii="方正书宋_GBK" w:eastAsia="方正书宋_GBK"/>
              </w:rPr>
            </w:pPr>
            <w:r>
              <w:rPr>
                <w:rFonts w:hint="eastAsia" w:ascii="方正书宋_GBK" w:eastAsia="方正书宋_GBK"/>
              </w:rPr>
              <w:t>按完成</w:t>
            </w:r>
            <w:r>
              <w:rPr>
                <w:rFonts w:hint="eastAsia" w:ascii="方正书宋_GBK" w:eastAsia="方正书宋_GBK"/>
                <w:lang w:eastAsia="zh-CN"/>
              </w:rPr>
              <w:t>比例</w:t>
            </w:r>
            <w:r>
              <w:rPr>
                <w:rFonts w:hint="eastAsia" w:ascii="方正书宋_GBK" w:eastAsia="方正书宋_GBK"/>
              </w:rPr>
              <w:t>得分</w:t>
            </w:r>
          </w:p>
        </w:tc>
        <w:tc>
          <w:tcPr>
            <w:tcW w:w="1483" w:type="dxa"/>
            <w:tcBorders>
              <w:tl2br w:val="nil"/>
              <w:tr2bl w:val="nil"/>
            </w:tcBorders>
            <w:vAlign w:val="center"/>
          </w:tcPr>
          <w:p w14:paraId="1CC9A6BF">
            <w:pPr>
              <w:pStyle w:val="18"/>
              <w:rPr>
                <w:rFonts w:ascii="方正书宋_GBK" w:eastAsia="方正书宋_GBK"/>
              </w:rPr>
            </w:pPr>
            <w:r>
              <w:rPr>
                <w:rFonts w:hint="eastAsia"/>
              </w:rPr>
              <w:t>困难职工，建档精准后按项目实施救助，享受帮扶救助的职工本地建档困难职工的比率审核建档，查阅资金拨付明细</w:t>
            </w:r>
          </w:p>
        </w:tc>
        <w:tc>
          <w:tcPr>
            <w:tcW w:w="543" w:type="dxa"/>
            <w:tcBorders>
              <w:tl2br w:val="nil"/>
              <w:tr2bl w:val="nil"/>
            </w:tcBorders>
            <w:vAlign w:val="center"/>
          </w:tcPr>
          <w:p w14:paraId="62B6BDAB">
            <w:pPr>
              <w:widowControl/>
              <w:adjustRightInd w:val="0"/>
              <w:snapToGrid w:val="0"/>
              <w:jc w:val="center"/>
              <w:rPr>
                <w:rFonts w:ascii="方正书宋_GBK" w:eastAsia="方正书宋_GBK"/>
              </w:rPr>
            </w:pPr>
            <w:r>
              <w:rPr>
                <w:rFonts w:hint="eastAsia" w:ascii="方正书宋_GBK" w:eastAsia="方正书宋_GBK"/>
              </w:rPr>
              <w:t>≥</w:t>
            </w:r>
          </w:p>
        </w:tc>
        <w:tc>
          <w:tcPr>
            <w:tcW w:w="488" w:type="dxa"/>
            <w:tcBorders>
              <w:tl2br w:val="nil"/>
              <w:tr2bl w:val="nil"/>
            </w:tcBorders>
            <w:vAlign w:val="center"/>
          </w:tcPr>
          <w:p w14:paraId="6CFC92B0">
            <w:pPr>
              <w:widowControl/>
              <w:adjustRightInd w:val="0"/>
              <w:snapToGrid w:val="0"/>
              <w:jc w:val="center"/>
              <w:rPr>
                <w:rFonts w:ascii="方正书宋_GBK" w:eastAsia="方正书宋_GBK"/>
              </w:rPr>
            </w:pPr>
            <w:r>
              <w:rPr>
                <w:rFonts w:hint="eastAsia" w:ascii="方正书宋_GBK" w:eastAsia="方正书宋_GBK"/>
              </w:rPr>
              <w:t>90</w:t>
            </w:r>
          </w:p>
        </w:tc>
        <w:tc>
          <w:tcPr>
            <w:tcW w:w="573" w:type="dxa"/>
            <w:tcBorders>
              <w:tl2br w:val="nil"/>
              <w:tr2bl w:val="nil"/>
            </w:tcBorders>
            <w:vAlign w:val="center"/>
          </w:tcPr>
          <w:p w14:paraId="5BE0F1F7">
            <w:pPr>
              <w:widowControl/>
              <w:adjustRightInd w:val="0"/>
              <w:snapToGrid w:val="0"/>
              <w:jc w:val="center"/>
              <w:rPr>
                <w:rFonts w:ascii="方正书宋_GBK" w:eastAsia="方正书宋_GBK"/>
              </w:rPr>
            </w:pPr>
            <w:r>
              <w:rPr>
                <w:rFonts w:hint="eastAsia" w:ascii="方正书宋_GBK" w:eastAsia="方正书宋_GBK"/>
              </w:rPr>
              <w:t>%</w:t>
            </w:r>
          </w:p>
        </w:tc>
        <w:tc>
          <w:tcPr>
            <w:tcW w:w="1277" w:type="dxa"/>
            <w:tcBorders>
              <w:tl2br w:val="nil"/>
              <w:tr2bl w:val="nil"/>
            </w:tcBorders>
            <w:vAlign w:val="center"/>
          </w:tcPr>
          <w:p w14:paraId="146B2B9A">
            <w:pPr>
              <w:widowControl/>
              <w:adjustRightInd w:val="0"/>
              <w:snapToGrid w:val="0"/>
              <w:rPr>
                <w:rFonts w:ascii="方正书宋_GBK" w:eastAsia="方正书宋_GBK"/>
              </w:rPr>
            </w:pPr>
            <w:r>
              <w:rPr>
                <w:rFonts w:hint="eastAsia" w:ascii="方正书宋_GBK" w:eastAsia="方正书宋_GBK"/>
              </w:rPr>
              <w:t>工会202</w:t>
            </w:r>
            <w:r>
              <w:rPr>
                <w:rFonts w:hint="eastAsia" w:ascii="方正书宋_GBK" w:eastAsia="方正书宋_GBK"/>
                <w:lang w:val="en-US" w:eastAsia="zh-CN"/>
              </w:rPr>
              <w:t>3</w:t>
            </w:r>
            <w:r>
              <w:rPr>
                <w:rFonts w:hint="eastAsia" w:ascii="方正书宋_GBK" w:eastAsia="方正书宋_GBK"/>
              </w:rPr>
              <w:t>年工作计划</w:t>
            </w:r>
          </w:p>
        </w:tc>
      </w:tr>
      <w:tr w14:paraId="705A2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458" w:hRule="atLeast"/>
          <w:jc w:val="center"/>
        </w:trPr>
        <w:tc>
          <w:tcPr>
            <w:tcW w:w="558" w:type="dxa"/>
            <w:vMerge w:val="continue"/>
            <w:tcBorders>
              <w:tl2br w:val="nil"/>
              <w:tr2bl w:val="nil"/>
            </w:tcBorders>
            <w:vAlign w:val="center"/>
          </w:tcPr>
          <w:p w14:paraId="6A197240"/>
        </w:tc>
        <w:tc>
          <w:tcPr>
            <w:tcW w:w="825" w:type="dxa"/>
            <w:tcBorders>
              <w:tl2br w:val="nil"/>
              <w:tr2bl w:val="nil"/>
            </w:tcBorders>
            <w:vAlign w:val="center"/>
          </w:tcPr>
          <w:p w14:paraId="28593DD0">
            <w:pPr>
              <w:widowControl/>
              <w:adjustRightInd w:val="0"/>
              <w:snapToGrid w:val="0"/>
              <w:jc w:val="center"/>
              <w:rPr>
                <w:rFonts w:ascii="方正书宋_GBK" w:eastAsia="方正书宋_GBK"/>
              </w:rPr>
            </w:pPr>
            <w:r>
              <w:rPr>
                <w:rFonts w:ascii="方正书宋_GBK" w:eastAsia="方正书宋_GBK"/>
              </w:rPr>
              <w:t>时效</w:t>
            </w:r>
          </w:p>
        </w:tc>
        <w:tc>
          <w:tcPr>
            <w:tcW w:w="897" w:type="dxa"/>
            <w:tcBorders>
              <w:tl2br w:val="nil"/>
              <w:tr2bl w:val="nil"/>
            </w:tcBorders>
            <w:vAlign w:val="center"/>
          </w:tcPr>
          <w:p w14:paraId="3E2243C3">
            <w:pPr>
              <w:pStyle w:val="18"/>
              <w:rPr>
                <w:rFonts w:ascii="方正书宋_GBK" w:eastAsia="方正书宋_GBK"/>
              </w:rPr>
            </w:pPr>
            <w:r>
              <w:t>按时支出</w:t>
            </w:r>
          </w:p>
        </w:tc>
        <w:tc>
          <w:tcPr>
            <w:tcW w:w="2172" w:type="dxa"/>
            <w:tcBorders>
              <w:tl2br w:val="nil"/>
              <w:tr2bl w:val="nil"/>
            </w:tcBorders>
            <w:vAlign w:val="center"/>
          </w:tcPr>
          <w:p w14:paraId="5B666E97">
            <w:pPr>
              <w:widowControl/>
              <w:adjustRightInd w:val="0"/>
              <w:snapToGrid w:val="0"/>
              <w:rPr>
                <w:rFonts w:ascii="方正书宋_GBK" w:eastAsia="方正书宋_GBK"/>
              </w:rPr>
            </w:pPr>
            <w:r>
              <w:rPr>
                <w:rFonts w:hint="eastAsia" w:ascii="方正书宋_GBK" w:eastAsia="方正书宋_GBK"/>
              </w:rPr>
              <w:t>按完成</w:t>
            </w:r>
            <w:r>
              <w:rPr>
                <w:rFonts w:hint="eastAsia" w:ascii="方正书宋_GBK" w:eastAsia="方正书宋_GBK"/>
                <w:lang w:eastAsia="zh-CN"/>
              </w:rPr>
              <w:t>比例</w:t>
            </w:r>
            <w:r>
              <w:rPr>
                <w:rFonts w:hint="eastAsia" w:ascii="方正书宋_GBK" w:eastAsia="方正书宋_GBK"/>
              </w:rPr>
              <w:t>得分</w:t>
            </w:r>
          </w:p>
        </w:tc>
        <w:tc>
          <w:tcPr>
            <w:tcW w:w="1483" w:type="dxa"/>
            <w:tcBorders>
              <w:tl2br w:val="nil"/>
              <w:tr2bl w:val="nil"/>
            </w:tcBorders>
            <w:vAlign w:val="center"/>
          </w:tcPr>
          <w:p w14:paraId="52E4F715">
            <w:pPr>
              <w:pStyle w:val="18"/>
              <w:rPr>
                <w:rFonts w:ascii="方正书宋_GBK" w:eastAsia="方正书宋_GBK"/>
              </w:rPr>
            </w:pPr>
            <w:r>
              <w:rPr>
                <w:rFonts w:hint="eastAsia"/>
              </w:rPr>
              <w:t>专项资金及时发放</w:t>
            </w:r>
          </w:p>
        </w:tc>
        <w:tc>
          <w:tcPr>
            <w:tcW w:w="543" w:type="dxa"/>
            <w:tcBorders>
              <w:tl2br w:val="nil"/>
              <w:tr2bl w:val="nil"/>
            </w:tcBorders>
            <w:vAlign w:val="center"/>
          </w:tcPr>
          <w:p w14:paraId="1DB56194">
            <w:pPr>
              <w:widowControl/>
              <w:adjustRightInd w:val="0"/>
              <w:snapToGrid w:val="0"/>
              <w:jc w:val="center"/>
              <w:rPr>
                <w:rFonts w:ascii="方正书宋_GBK" w:eastAsia="方正书宋_GBK"/>
              </w:rPr>
            </w:pPr>
            <w:r>
              <w:rPr>
                <w:rFonts w:hint="eastAsia" w:ascii="方正书宋_GBK" w:eastAsia="方正书宋_GBK"/>
              </w:rPr>
              <w:t>文字描述</w:t>
            </w:r>
          </w:p>
        </w:tc>
        <w:tc>
          <w:tcPr>
            <w:tcW w:w="488" w:type="dxa"/>
            <w:tcBorders>
              <w:tl2br w:val="nil"/>
              <w:tr2bl w:val="nil"/>
            </w:tcBorders>
            <w:vAlign w:val="center"/>
          </w:tcPr>
          <w:p w14:paraId="6BC3D3D4">
            <w:pPr>
              <w:widowControl/>
              <w:adjustRightInd w:val="0"/>
              <w:snapToGrid w:val="0"/>
              <w:jc w:val="center"/>
              <w:rPr>
                <w:rFonts w:ascii="方正书宋_GBK" w:eastAsia="方正书宋_GBK"/>
              </w:rPr>
            </w:pPr>
          </w:p>
        </w:tc>
        <w:tc>
          <w:tcPr>
            <w:tcW w:w="573" w:type="dxa"/>
            <w:tcBorders>
              <w:tl2br w:val="nil"/>
              <w:tr2bl w:val="nil"/>
            </w:tcBorders>
            <w:vAlign w:val="center"/>
          </w:tcPr>
          <w:p w14:paraId="2D020D96">
            <w:pPr>
              <w:widowControl/>
              <w:adjustRightInd w:val="0"/>
              <w:snapToGrid w:val="0"/>
              <w:jc w:val="center"/>
              <w:rPr>
                <w:rFonts w:ascii="方正书宋_GBK" w:eastAsia="方正书宋_GBK"/>
              </w:rPr>
            </w:pPr>
            <w:r>
              <w:rPr>
                <w:rFonts w:hint="eastAsia" w:ascii="方正书宋_GBK" w:eastAsia="方正书宋_GBK"/>
              </w:rPr>
              <w:t>及时</w:t>
            </w:r>
          </w:p>
        </w:tc>
        <w:tc>
          <w:tcPr>
            <w:tcW w:w="1277" w:type="dxa"/>
            <w:tcBorders>
              <w:tl2br w:val="nil"/>
              <w:tr2bl w:val="nil"/>
            </w:tcBorders>
            <w:vAlign w:val="center"/>
          </w:tcPr>
          <w:p w14:paraId="29E28E71">
            <w:pPr>
              <w:widowControl/>
              <w:adjustRightInd w:val="0"/>
              <w:snapToGrid w:val="0"/>
              <w:rPr>
                <w:rFonts w:ascii="方正书宋_GBK" w:eastAsia="方正书宋_GBK"/>
              </w:rPr>
            </w:pPr>
            <w:r>
              <w:rPr>
                <w:rFonts w:hint="eastAsia" w:ascii="方正书宋_GBK" w:eastAsia="方正书宋_GBK"/>
              </w:rPr>
              <w:t>工会202</w:t>
            </w:r>
            <w:r>
              <w:rPr>
                <w:rFonts w:hint="eastAsia" w:ascii="方正书宋_GBK" w:eastAsia="方正书宋_GBK"/>
                <w:lang w:val="en-US" w:eastAsia="zh-CN"/>
              </w:rPr>
              <w:t>3</w:t>
            </w:r>
            <w:r>
              <w:rPr>
                <w:rFonts w:hint="eastAsia" w:ascii="方正书宋_GBK" w:eastAsia="方正书宋_GBK"/>
              </w:rPr>
              <w:t>年预算</w:t>
            </w:r>
          </w:p>
        </w:tc>
      </w:tr>
      <w:tr w14:paraId="02577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14:paraId="63C2088A"/>
        </w:tc>
        <w:tc>
          <w:tcPr>
            <w:tcW w:w="825" w:type="dxa"/>
            <w:tcBorders>
              <w:tl2br w:val="nil"/>
              <w:tr2bl w:val="nil"/>
            </w:tcBorders>
            <w:vAlign w:val="center"/>
          </w:tcPr>
          <w:p w14:paraId="157218E4">
            <w:pPr>
              <w:widowControl/>
              <w:adjustRightInd w:val="0"/>
              <w:snapToGrid w:val="0"/>
              <w:jc w:val="center"/>
              <w:rPr>
                <w:rFonts w:ascii="方正书宋_GBK" w:eastAsia="方正书宋_GBK"/>
              </w:rPr>
            </w:pPr>
            <w:r>
              <w:rPr>
                <w:rFonts w:ascii="方正书宋_GBK" w:eastAsia="方正书宋_GBK"/>
              </w:rPr>
              <w:t>成本</w:t>
            </w:r>
          </w:p>
        </w:tc>
        <w:tc>
          <w:tcPr>
            <w:tcW w:w="897" w:type="dxa"/>
            <w:tcBorders>
              <w:tl2br w:val="nil"/>
              <w:tr2bl w:val="nil"/>
            </w:tcBorders>
            <w:vAlign w:val="center"/>
          </w:tcPr>
          <w:p w14:paraId="1CB81243">
            <w:pPr>
              <w:widowControl/>
              <w:adjustRightInd w:val="0"/>
              <w:snapToGrid w:val="0"/>
              <w:rPr>
                <w:rFonts w:ascii="方正书宋_GBK" w:eastAsia="方正书宋_GBK"/>
              </w:rPr>
            </w:pPr>
            <w:r>
              <w:rPr>
                <w:rFonts w:hint="eastAsia" w:ascii="方正书宋_GBK" w:eastAsia="方正书宋_GBK"/>
              </w:rPr>
              <w:t>资金成本</w:t>
            </w:r>
          </w:p>
        </w:tc>
        <w:tc>
          <w:tcPr>
            <w:tcW w:w="2172" w:type="dxa"/>
            <w:tcBorders>
              <w:tl2br w:val="nil"/>
              <w:tr2bl w:val="nil"/>
            </w:tcBorders>
            <w:vAlign w:val="center"/>
          </w:tcPr>
          <w:p w14:paraId="168A98C8">
            <w:pPr>
              <w:widowControl/>
              <w:adjustRightInd w:val="0"/>
              <w:snapToGrid w:val="0"/>
              <w:rPr>
                <w:rFonts w:ascii="方正书宋_GBK" w:eastAsia="方正书宋_GBK"/>
              </w:rPr>
            </w:pPr>
            <w:r>
              <w:rPr>
                <w:rFonts w:hint="eastAsia" w:ascii="方正书宋_GBK" w:eastAsia="方正书宋_GBK"/>
              </w:rPr>
              <w:t>按完成</w:t>
            </w:r>
            <w:r>
              <w:rPr>
                <w:rFonts w:hint="eastAsia" w:ascii="方正书宋_GBK" w:eastAsia="方正书宋_GBK"/>
                <w:lang w:eastAsia="zh-CN"/>
              </w:rPr>
              <w:t>比例</w:t>
            </w:r>
            <w:r>
              <w:rPr>
                <w:rFonts w:hint="eastAsia" w:ascii="方正书宋_GBK" w:eastAsia="方正书宋_GBK"/>
              </w:rPr>
              <w:t>得分</w:t>
            </w:r>
          </w:p>
        </w:tc>
        <w:tc>
          <w:tcPr>
            <w:tcW w:w="1483" w:type="dxa"/>
            <w:tcBorders>
              <w:tl2br w:val="nil"/>
              <w:tr2bl w:val="nil"/>
            </w:tcBorders>
            <w:vAlign w:val="center"/>
          </w:tcPr>
          <w:p w14:paraId="32AB5C7D">
            <w:pPr>
              <w:widowControl/>
              <w:adjustRightInd w:val="0"/>
              <w:snapToGrid w:val="0"/>
              <w:rPr>
                <w:rFonts w:ascii="方正书宋_GBK" w:eastAsia="方正书宋_GBK"/>
              </w:rPr>
            </w:pPr>
            <w:r>
              <w:rPr>
                <w:rFonts w:hint="eastAsia" w:ascii="方正书宋_GBK" w:eastAsia="方正书宋_GBK"/>
              </w:rPr>
              <w:t>困难职工救助专项资金成本控制在预算范围内</w:t>
            </w:r>
          </w:p>
        </w:tc>
        <w:tc>
          <w:tcPr>
            <w:tcW w:w="543" w:type="dxa"/>
            <w:tcBorders>
              <w:tl2br w:val="nil"/>
              <w:tr2bl w:val="nil"/>
            </w:tcBorders>
            <w:vAlign w:val="center"/>
          </w:tcPr>
          <w:p w14:paraId="466F6AF1">
            <w:pPr>
              <w:widowControl/>
              <w:adjustRightInd w:val="0"/>
              <w:snapToGrid w:val="0"/>
              <w:jc w:val="center"/>
              <w:rPr>
                <w:rFonts w:ascii="方正书宋_GBK" w:eastAsia="方正书宋_GBK"/>
              </w:rPr>
            </w:pPr>
            <w:r>
              <w:rPr>
                <w:rFonts w:hint="eastAsia" w:ascii="方正书宋_GBK" w:eastAsia="方正书宋_GBK"/>
              </w:rPr>
              <w:t>≤</w:t>
            </w:r>
          </w:p>
        </w:tc>
        <w:tc>
          <w:tcPr>
            <w:tcW w:w="488" w:type="dxa"/>
            <w:tcBorders>
              <w:tl2br w:val="nil"/>
              <w:tr2bl w:val="nil"/>
            </w:tcBorders>
            <w:vAlign w:val="center"/>
          </w:tcPr>
          <w:p w14:paraId="6FA3974C">
            <w:pPr>
              <w:widowControl/>
              <w:adjustRightInd w:val="0"/>
              <w:snapToGrid w:val="0"/>
              <w:jc w:val="center"/>
              <w:rPr>
                <w:rFonts w:hint="default" w:ascii="方正书宋_GBK" w:eastAsia="方正书宋_GBK"/>
                <w:lang w:val="en-US" w:eastAsia="zh-CN"/>
              </w:rPr>
            </w:pPr>
            <w:r>
              <w:rPr>
                <w:rFonts w:hint="eastAsia" w:ascii="方正书宋_GBK" w:eastAsia="方正书宋_GBK"/>
                <w:lang w:val="en-US" w:eastAsia="zh-CN"/>
              </w:rPr>
              <w:t>9.63</w:t>
            </w:r>
          </w:p>
        </w:tc>
        <w:tc>
          <w:tcPr>
            <w:tcW w:w="573" w:type="dxa"/>
            <w:tcBorders>
              <w:tl2br w:val="nil"/>
              <w:tr2bl w:val="nil"/>
            </w:tcBorders>
            <w:vAlign w:val="center"/>
          </w:tcPr>
          <w:p w14:paraId="31B554C7">
            <w:pPr>
              <w:widowControl/>
              <w:adjustRightInd w:val="0"/>
              <w:snapToGrid w:val="0"/>
              <w:jc w:val="center"/>
              <w:rPr>
                <w:rFonts w:ascii="方正书宋_GBK" w:eastAsia="方正书宋_GBK"/>
              </w:rPr>
            </w:pPr>
            <w:r>
              <w:rPr>
                <w:rFonts w:hint="eastAsia" w:ascii="方正书宋_GBK" w:eastAsia="方正书宋_GBK"/>
              </w:rPr>
              <w:t>万元</w:t>
            </w:r>
          </w:p>
        </w:tc>
        <w:tc>
          <w:tcPr>
            <w:tcW w:w="1277" w:type="dxa"/>
            <w:tcBorders>
              <w:tl2br w:val="nil"/>
              <w:tr2bl w:val="nil"/>
            </w:tcBorders>
            <w:vAlign w:val="center"/>
          </w:tcPr>
          <w:p w14:paraId="1D0BBA8E">
            <w:pPr>
              <w:widowControl/>
              <w:adjustRightInd w:val="0"/>
              <w:snapToGrid w:val="0"/>
              <w:rPr>
                <w:rFonts w:ascii="方正书宋_GBK" w:eastAsia="方正书宋_GBK"/>
              </w:rPr>
            </w:pPr>
            <w:r>
              <w:rPr>
                <w:rFonts w:hint="eastAsia" w:cs="方正仿宋_GBK" w:asciiTheme="minorEastAsia" w:hAnsiTheme="minorEastAsia"/>
                <w:color w:val="000000"/>
                <w:sz w:val="24"/>
                <w:lang w:eastAsia="zh-CN"/>
              </w:rPr>
              <w:t>永</w:t>
            </w:r>
            <w:r>
              <w:rPr>
                <w:rFonts w:cs="方正仿宋_GBK" w:asciiTheme="minorEastAsia" w:hAnsiTheme="minorEastAsia"/>
                <w:color w:val="000000"/>
                <w:sz w:val="24"/>
              </w:rPr>
              <w:t>财行[202</w:t>
            </w:r>
            <w:r>
              <w:rPr>
                <w:rFonts w:hint="eastAsia" w:cs="方正仿宋_GBK" w:asciiTheme="minorEastAsia" w:hAnsiTheme="minorEastAsia"/>
                <w:color w:val="000000"/>
                <w:sz w:val="24"/>
                <w:lang w:val="en-US" w:eastAsia="zh-CN"/>
              </w:rPr>
              <w:t>2</w:t>
            </w:r>
            <w:r>
              <w:rPr>
                <w:rFonts w:cs="方正仿宋_GBK" w:asciiTheme="minorEastAsia" w:hAnsiTheme="minorEastAsia"/>
                <w:color w:val="000000"/>
                <w:sz w:val="24"/>
              </w:rPr>
              <w:t>]</w:t>
            </w:r>
            <w:r>
              <w:rPr>
                <w:rFonts w:hint="eastAsia" w:cs="方正仿宋_GBK" w:asciiTheme="minorEastAsia" w:hAnsiTheme="minorEastAsia"/>
                <w:color w:val="000000"/>
                <w:sz w:val="24"/>
                <w:lang w:val="en-US" w:eastAsia="zh-CN"/>
              </w:rPr>
              <w:t>11</w:t>
            </w:r>
            <w:r>
              <w:rPr>
                <w:rFonts w:cs="方正仿宋_GBK" w:asciiTheme="minorEastAsia" w:hAnsiTheme="minorEastAsia"/>
                <w:color w:val="000000"/>
                <w:sz w:val="24"/>
              </w:rPr>
              <w:t>号</w:t>
            </w:r>
          </w:p>
        </w:tc>
      </w:tr>
      <w:tr w14:paraId="1FAF6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restart"/>
            <w:tcBorders>
              <w:tl2br w:val="nil"/>
              <w:tr2bl w:val="nil"/>
            </w:tcBorders>
            <w:vAlign w:val="center"/>
          </w:tcPr>
          <w:p w14:paraId="579B8052">
            <w:pPr>
              <w:adjustRightInd w:val="0"/>
              <w:snapToGrid w:val="0"/>
              <w:jc w:val="center"/>
              <w:rPr>
                <w:rFonts w:ascii="方正书宋_GBK" w:eastAsia="方正书宋_GBK"/>
              </w:rPr>
            </w:pPr>
            <w:r>
              <w:rPr>
                <w:rFonts w:ascii="方正书宋_GBK" w:eastAsia="方正书宋_GBK"/>
              </w:rPr>
              <w:t>部门</w:t>
            </w:r>
            <w:r>
              <w:rPr>
                <w:rFonts w:hint="eastAsia" w:ascii="方正书宋_GBK" w:eastAsia="方正书宋_GBK"/>
              </w:rPr>
              <w:t>效果</w:t>
            </w:r>
          </w:p>
        </w:tc>
        <w:tc>
          <w:tcPr>
            <w:tcW w:w="825" w:type="dxa"/>
            <w:tcBorders>
              <w:tl2br w:val="nil"/>
              <w:tr2bl w:val="nil"/>
            </w:tcBorders>
            <w:vAlign w:val="center"/>
          </w:tcPr>
          <w:p w14:paraId="68F10003">
            <w:pPr>
              <w:widowControl/>
              <w:adjustRightInd w:val="0"/>
              <w:snapToGrid w:val="0"/>
              <w:jc w:val="center"/>
              <w:rPr>
                <w:rFonts w:ascii="方正书宋_GBK" w:eastAsia="方正书宋_GBK"/>
              </w:rPr>
            </w:pPr>
            <w:r>
              <w:rPr>
                <w:rFonts w:ascii="方正书宋_GBK" w:eastAsia="方正书宋_GBK"/>
              </w:rPr>
              <w:t>社会</w:t>
            </w:r>
          </w:p>
          <w:p w14:paraId="4246A5BB">
            <w:pPr>
              <w:widowControl/>
              <w:adjustRightInd w:val="0"/>
              <w:snapToGrid w:val="0"/>
              <w:jc w:val="center"/>
              <w:rPr>
                <w:rFonts w:ascii="方正书宋_GBK" w:eastAsia="方正书宋_GBK"/>
              </w:rPr>
            </w:pPr>
            <w:r>
              <w:rPr>
                <w:rFonts w:ascii="方正书宋_GBK" w:eastAsia="方正书宋_GBK"/>
              </w:rPr>
              <w:t>效益</w:t>
            </w:r>
          </w:p>
        </w:tc>
        <w:tc>
          <w:tcPr>
            <w:tcW w:w="897" w:type="dxa"/>
            <w:tcBorders>
              <w:tl2br w:val="nil"/>
              <w:tr2bl w:val="nil"/>
            </w:tcBorders>
            <w:vAlign w:val="center"/>
          </w:tcPr>
          <w:p w14:paraId="51E62943">
            <w:pPr>
              <w:widowControl/>
              <w:adjustRightInd w:val="0"/>
              <w:snapToGrid w:val="0"/>
              <w:rPr>
                <w:rFonts w:ascii="方正书宋_GBK" w:eastAsia="方正书宋_GBK"/>
              </w:rPr>
            </w:pPr>
            <w:r>
              <w:rPr>
                <w:rFonts w:hint="eastAsia" w:ascii="方正书宋_GBK" w:eastAsia="方正书宋_GBK"/>
              </w:rPr>
              <w:t>困难群众生活水平提升情况</w:t>
            </w:r>
          </w:p>
        </w:tc>
        <w:tc>
          <w:tcPr>
            <w:tcW w:w="2172" w:type="dxa"/>
            <w:tcBorders>
              <w:tl2br w:val="nil"/>
              <w:tr2bl w:val="nil"/>
            </w:tcBorders>
            <w:vAlign w:val="center"/>
          </w:tcPr>
          <w:p w14:paraId="748D5792">
            <w:pPr>
              <w:widowControl/>
              <w:adjustRightInd w:val="0"/>
              <w:snapToGrid w:val="0"/>
              <w:rPr>
                <w:rFonts w:ascii="方正书宋_GBK" w:eastAsia="方正书宋_GBK"/>
              </w:rPr>
            </w:pPr>
            <w:r>
              <w:rPr>
                <w:rFonts w:hint="eastAsia" w:ascii="方正书宋_GBK" w:eastAsia="方正书宋_GBK"/>
              </w:rPr>
              <w:t>按完成比例得分</w:t>
            </w:r>
          </w:p>
        </w:tc>
        <w:tc>
          <w:tcPr>
            <w:tcW w:w="1483" w:type="dxa"/>
            <w:tcBorders>
              <w:tl2br w:val="nil"/>
              <w:tr2bl w:val="nil"/>
            </w:tcBorders>
            <w:vAlign w:val="center"/>
          </w:tcPr>
          <w:p w14:paraId="145D1DAD">
            <w:pPr>
              <w:widowControl/>
              <w:adjustRightInd w:val="0"/>
              <w:snapToGrid w:val="0"/>
              <w:rPr>
                <w:rFonts w:ascii="方正书宋_GBK" w:eastAsia="方正书宋_GBK"/>
              </w:rPr>
            </w:pPr>
            <w:r>
              <w:rPr>
                <w:rFonts w:hint="eastAsia" w:ascii="方正书宋_GBK" w:eastAsia="方正书宋_GBK"/>
              </w:rPr>
              <w:t>帮扶救助后职工困难得到缓解，生活状况有所提高</w:t>
            </w:r>
          </w:p>
        </w:tc>
        <w:tc>
          <w:tcPr>
            <w:tcW w:w="543" w:type="dxa"/>
            <w:tcBorders>
              <w:tl2br w:val="nil"/>
              <w:tr2bl w:val="nil"/>
            </w:tcBorders>
            <w:vAlign w:val="center"/>
          </w:tcPr>
          <w:p w14:paraId="29667620">
            <w:pPr>
              <w:widowControl/>
              <w:adjustRightInd w:val="0"/>
              <w:snapToGrid w:val="0"/>
              <w:jc w:val="center"/>
              <w:rPr>
                <w:rFonts w:ascii="方正书宋_GBK" w:eastAsia="方正书宋_GBK"/>
              </w:rPr>
            </w:pPr>
            <w:r>
              <w:rPr>
                <w:rFonts w:hint="eastAsia" w:ascii="方正书宋_GBK" w:eastAsia="方正书宋_GBK"/>
              </w:rPr>
              <w:t>文字描述</w:t>
            </w:r>
          </w:p>
        </w:tc>
        <w:tc>
          <w:tcPr>
            <w:tcW w:w="488" w:type="dxa"/>
            <w:tcBorders>
              <w:tl2br w:val="nil"/>
              <w:tr2bl w:val="nil"/>
            </w:tcBorders>
            <w:vAlign w:val="center"/>
          </w:tcPr>
          <w:p w14:paraId="24F52A24">
            <w:pPr>
              <w:widowControl/>
              <w:adjustRightInd w:val="0"/>
              <w:snapToGrid w:val="0"/>
              <w:jc w:val="center"/>
              <w:rPr>
                <w:rFonts w:ascii="方正书宋_GBK" w:eastAsia="方正书宋_GBK"/>
              </w:rPr>
            </w:pPr>
          </w:p>
        </w:tc>
        <w:tc>
          <w:tcPr>
            <w:tcW w:w="573" w:type="dxa"/>
            <w:tcBorders>
              <w:tl2br w:val="nil"/>
              <w:tr2bl w:val="nil"/>
            </w:tcBorders>
            <w:vAlign w:val="center"/>
          </w:tcPr>
          <w:p w14:paraId="745836AE">
            <w:pPr>
              <w:widowControl/>
              <w:adjustRightInd w:val="0"/>
              <w:snapToGrid w:val="0"/>
              <w:jc w:val="center"/>
              <w:rPr>
                <w:rFonts w:ascii="方正书宋_GBK" w:eastAsia="方正书宋_GBK"/>
              </w:rPr>
            </w:pPr>
            <w:r>
              <w:rPr>
                <w:rFonts w:hint="eastAsia" w:ascii="方正书宋_GBK" w:eastAsia="方正书宋_GBK"/>
              </w:rPr>
              <w:t>困难职工生活状况得到改善</w:t>
            </w:r>
          </w:p>
        </w:tc>
        <w:tc>
          <w:tcPr>
            <w:tcW w:w="1277" w:type="dxa"/>
            <w:tcBorders>
              <w:tl2br w:val="nil"/>
              <w:tr2bl w:val="nil"/>
            </w:tcBorders>
            <w:vAlign w:val="center"/>
          </w:tcPr>
          <w:p w14:paraId="06AB378C">
            <w:pPr>
              <w:widowControl/>
              <w:adjustRightInd w:val="0"/>
              <w:snapToGrid w:val="0"/>
              <w:rPr>
                <w:rFonts w:ascii="方正书宋_GBK" w:eastAsia="方正书宋_GBK"/>
              </w:rPr>
            </w:pPr>
            <w:r>
              <w:rPr>
                <w:rFonts w:hint="eastAsia" w:ascii="方正书宋_GBK" w:eastAsia="方正书宋_GBK"/>
              </w:rPr>
              <w:t>工会202</w:t>
            </w:r>
            <w:r>
              <w:rPr>
                <w:rFonts w:hint="eastAsia" w:ascii="方正书宋_GBK" w:eastAsia="方正书宋_GBK"/>
                <w:lang w:val="en-US" w:eastAsia="zh-CN"/>
              </w:rPr>
              <w:t>3</w:t>
            </w:r>
            <w:r>
              <w:rPr>
                <w:rFonts w:hint="eastAsia" w:ascii="方正书宋_GBK" w:eastAsia="方正书宋_GBK"/>
              </w:rPr>
              <w:t>年工作计划</w:t>
            </w:r>
          </w:p>
        </w:tc>
      </w:tr>
      <w:tr w14:paraId="0530C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14:paraId="50368EBF"/>
        </w:tc>
        <w:tc>
          <w:tcPr>
            <w:tcW w:w="825" w:type="dxa"/>
            <w:tcBorders>
              <w:tl2br w:val="nil"/>
              <w:tr2bl w:val="nil"/>
            </w:tcBorders>
            <w:vAlign w:val="center"/>
          </w:tcPr>
          <w:p w14:paraId="2331F81F">
            <w:pPr>
              <w:widowControl/>
              <w:adjustRightInd w:val="0"/>
              <w:snapToGrid w:val="0"/>
              <w:jc w:val="center"/>
              <w:rPr>
                <w:rFonts w:ascii="方正书宋_GBK" w:eastAsia="方正书宋_GBK"/>
              </w:rPr>
            </w:pPr>
            <w:r>
              <w:rPr>
                <w:rFonts w:hint="eastAsia" w:ascii="方正书宋_GBK" w:eastAsia="方正书宋_GBK"/>
              </w:rPr>
              <w:t>经济</w:t>
            </w:r>
          </w:p>
          <w:p w14:paraId="0FBB891A">
            <w:pPr>
              <w:widowControl/>
              <w:adjustRightInd w:val="0"/>
              <w:snapToGrid w:val="0"/>
              <w:jc w:val="center"/>
              <w:rPr>
                <w:rFonts w:ascii="方正书宋_GBK" w:eastAsia="方正书宋_GBK"/>
              </w:rPr>
            </w:pPr>
            <w:r>
              <w:rPr>
                <w:rFonts w:hint="eastAsia" w:ascii="方正书宋_GBK" w:eastAsia="方正书宋_GBK"/>
              </w:rPr>
              <w:t>效益</w:t>
            </w:r>
          </w:p>
        </w:tc>
        <w:tc>
          <w:tcPr>
            <w:tcW w:w="897" w:type="dxa"/>
            <w:tcBorders>
              <w:tl2br w:val="nil"/>
              <w:tr2bl w:val="nil"/>
            </w:tcBorders>
            <w:vAlign w:val="center"/>
          </w:tcPr>
          <w:p w14:paraId="6DD9BB56">
            <w:pPr>
              <w:widowControl/>
              <w:adjustRightInd w:val="0"/>
              <w:snapToGrid w:val="0"/>
              <w:rPr>
                <w:rFonts w:ascii="方正书宋_GBK" w:eastAsia="方正书宋_GBK"/>
              </w:rPr>
            </w:pPr>
          </w:p>
        </w:tc>
        <w:tc>
          <w:tcPr>
            <w:tcW w:w="2172" w:type="dxa"/>
            <w:tcBorders>
              <w:tl2br w:val="nil"/>
              <w:tr2bl w:val="nil"/>
            </w:tcBorders>
            <w:vAlign w:val="center"/>
          </w:tcPr>
          <w:p w14:paraId="6DDE4DBF">
            <w:pPr>
              <w:widowControl/>
              <w:adjustRightInd w:val="0"/>
              <w:snapToGrid w:val="0"/>
              <w:rPr>
                <w:rFonts w:ascii="方正书宋_GBK" w:eastAsia="方正书宋_GBK"/>
              </w:rPr>
            </w:pPr>
          </w:p>
        </w:tc>
        <w:tc>
          <w:tcPr>
            <w:tcW w:w="1483" w:type="dxa"/>
            <w:tcBorders>
              <w:tl2br w:val="nil"/>
              <w:tr2bl w:val="nil"/>
            </w:tcBorders>
            <w:vAlign w:val="center"/>
          </w:tcPr>
          <w:p w14:paraId="4AF3477F">
            <w:pPr>
              <w:widowControl/>
              <w:adjustRightInd w:val="0"/>
              <w:snapToGrid w:val="0"/>
              <w:rPr>
                <w:rFonts w:ascii="方正书宋_GBK" w:eastAsia="方正书宋_GBK"/>
              </w:rPr>
            </w:pPr>
          </w:p>
        </w:tc>
        <w:tc>
          <w:tcPr>
            <w:tcW w:w="543" w:type="dxa"/>
            <w:tcBorders>
              <w:tl2br w:val="nil"/>
              <w:tr2bl w:val="nil"/>
            </w:tcBorders>
            <w:vAlign w:val="center"/>
          </w:tcPr>
          <w:p w14:paraId="4285A5B2">
            <w:pPr>
              <w:widowControl/>
              <w:adjustRightInd w:val="0"/>
              <w:snapToGrid w:val="0"/>
              <w:rPr>
                <w:rFonts w:ascii="方正书宋_GBK" w:eastAsia="方正书宋_GBK"/>
              </w:rPr>
            </w:pPr>
          </w:p>
        </w:tc>
        <w:tc>
          <w:tcPr>
            <w:tcW w:w="488" w:type="dxa"/>
            <w:tcBorders>
              <w:tl2br w:val="nil"/>
              <w:tr2bl w:val="nil"/>
            </w:tcBorders>
            <w:vAlign w:val="center"/>
          </w:tcPr>
          <w:p w14:paraId="1D1A68DC">
            <w:pPr>
              <w:widowControl/>
              <w:adjustRightInd w:val="0"/>
              <w:snapToGrid w:val="0"/>
              <w:rPr>
                <w:rFonts w:ascii="方正书宋_GBK" w:eastAsia="方正书宋_GBK"/>
              </w:rPr>
            </w:pPr>
          </w:p>
        </w:tc>
        <w:tc>
          <w:tcPr>
            <w:tcW w:w="573" w:type="dxa"/>
            <w:tcBorders>
              <w:tl2br w:val="nil"/>
              <w:tr2bl w:val="nil"/>
            </w:tcBorders>
            <w:vAlign w:val="center"/>
          </w:tcPr>
          <w:p w14:paraId="05EBB52B">
            <w:pPr>
              <w:widowControl/>
              <w:adjustRightInd w:val="0"/>
              <w:snapToGrid w:val="0"/>
              <w:rPr>
                <w:rFonts w:ascii="方正书宋_GBK" w:eastAsia="方正书宋_GBK"/>
              </w:rPr>
            </w:pPr>
          </w:p>
        </w:tc>
        <w:tc>
          <w:tcPr>
            <w:tcW w:w="1277" w:type="dxa"/>
            <w:tcBorders>
              <w:tl2br w:val="nil"/>
              <w:tr2bl w:val="nil"/>
            </w:tcBorders>
            <w:vAlign w:val="center"/>
          </w:tcPr>
          <w:p w14:paraId="51673667">
            <w:pPr>
              <w:widowControl/>
              <w:adjustRightInd w:val="0"/>
              <w:snapToGrid w:val="0"/>
              <w:rPr>
                <w:rFonts w:ascii="方正书宋_GBK" w:eastAsia="方正书宋_GBK"/>
              </w:rPr>
            </w:pPr>
          </w:p>
        </w:tc>
      </w:tr>
      <w:tr w14:paraId="5B865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4" w:hRule="atLeast"/>
          <w:jc w:val="center"/>
        </w:trPr>
        <w:tc>
          <w:tcPr>
            <w:tcW w:w="558" w:type="dxa"/>
            <w:vMerge w:val="continue"/>
            <w:tcBorders>
              <w:tl2br w:val="nil"/>
              <w:tr2bl w:val="nil"/>
            </w:tcBorders>
            <w:vAlign w:val="center"/>
          </w:tcPr>
          <w:p w14:paraId="65E0B800"/>
        </w:tc>
        <w:tc>
          <w:tcPr>
            <w:tcW w:w="825" w:type="dxa"/>
            <w:tcBorders>
              <w:tl2br w:val="nil"/>
              <w:tr2bl w:val="nil"/>
            </w:tcBorders>
            <w:vAlign w:val="center"/>
          </w:tcPr>
          <w:p w14:paraId="17773685">
            <w:pPr>
              <w:widowControl/>
              <w:adjustRightInd w:val="0"/>
              <w:snapToGrid w:val="0"/>
              <w:jc w:val="center"/>
              <w:rPr>
                <w:rFonts w:ascii="方正书宋_GBK" w:eastAsia="方正书宋_GBK"/>
              </w:rPr>
            </w:pPr>
            <w:r>
              <w:rPr>
                <w:rFonts w:hint="eastAsia" w:ascii="方正书宋_GBK" w:eastAsia="方正书宋_GBK"/>
              </w:rPr>
              <w:t>生态</w:t>
            </w:r>
          </w:p>
          <w:p w14:paraId="587579CD">
            <w:pPr>
              <w:widowControl/>
              <w:adjustRightInd w:val="0"/>
              <w:snapToGrid w:val="0"/>
              <w:jc w:val="center"/>
              <w:rPr>
                <w:rFonts w:ascii="方正书宋_GBK" w:eastAsia="方正书宋_GBK"/>
              </w:rPr>
            </w:pPr>
            <w:r>
              <w:rPr>
                <w:rFonts w:hint="eastAsia" w:ascii="方正书宋_GBK" w:eastAsia="方正书宋_GBK"/>
              </w:rPr>
              <w:t>效益</w:t>
            </w:r>
          </w:p>
        </w:tc>
        <w:tc>
          <w:tcPr>
            <w:tcW w:w="897" w:type="dxa"/>
            <w:tcBorders>
              <w:tl2br w:val="nil"/>
              <w:tr2bl w:val="nil"/>
            </w:tcBorders>
            <w:vAlign w:val="center"/>
          </w:tcPr>
          <w:p w14:paraId="4639BD63">
            <w:pPr>
              <w:widowControl/>
              <w:adjustRightInd w:val="0"/>
              <w:snapToGrid w:val="0"/>
              <w:rPr>
                <w:rFonts w:ascii="方正书宋_GBK" w:eastAsia="方正书宋_GBK"/>
              </w:rPr>
            </w:pPr>
          </w:p>
        </w:tc>
        <w:tc>
          <w:tcPr>
            <w:tcW w:w="2172" w:type="dxa"/>
            <w:tcBorders>
              <w:tl2br w:val="nil"/>
              <w:tr2bl w:val="nil"/>
            </w:tcBorders>
            <w:vAlign w:val="center"/>
          </w:tcPr>
          <w:p w14:paraId="19081755">
            <w:pPr>
              <w:widowControl/>
              <w:adjustRightInd w:val="0"/>
              <w:snapToGrid w:val="0"/>
              <w:rPr>
                <w:rFonts w:ascii="方正书宋_GBK" w:eastAsia="方正书宋_GBK"/>
              </w:rPr>
            </w:pPr>
          </w:p>
        </w:tc>
        <w:tc>
          <w:tcPr>
            <w:tcW w:w="1483" w:type="dxa"/>
            <w:tcBorders>
              <w:tl2br w:val="nil"/>
              <w:tr2bl w:val="nil"/>
            </w:tcBorders>
            <w:vAlign w:val="center"/>
          </w:tcPr>
          <w:p w14:paraId="799615A8">
            <w:pPr>
              <w:widowControl/>
              <w:adjustRightInd w:val="0"/>
              <w:snapToGrid w:val="0"/>
              <w:rPr>
                <w:rFonts w:ascii="方正书宋_GBK" w:eastAsia="方正书宋_GBK"/>
              </w:rPr>
            </w:pPr>
          </w:p>
        </w:tc>
        <w:tc>
          <w:tcPr>
            <w:tcW w:w="543" w:type="dxa"/>
            <w:tcBorders>
              <w:tl2br w:val="nil"/>
              <w:tr2bl w:val="nil"/>
            </w:tcBorders>
            <w:vAlign w:val="center"/>
          </w:tcPr>
          <w:p w14:paraId="53860109">
            <w:pPr>
              <w:widowControl/>
              <w:adjustRightInd w:val="0"/>
              <w:snapToGrid w:val="0"/>
              <w:rPr>
                <w:rFonts w:ascii="方正书宋_GBK" w:eastAsia="方正书宋_GBK"/>
              </w:rPr>
            </w:pPr>
          </w:p>
        </w:tc>
        <w:tc>
          <w:tcPr>
            <w:tcW w:w="488" w:type="dxa"/>
            <w:tcBorders>
              <w:tl2br w:val="nil"/>
              <w:tr2bl w:val="nil"/>
            </w:tcBorders>
            <w:vAlign w:val="center"/>
          </w:tcPr>
          <w:p w14:paraId="7F053E14">
            <w:pPr>
              <w:widowControl/>
              <w:adjustRightInd w:val="0"/>
              <w:snapToGrid w:val="0"/>
              <w:rPr>
                <w:rFonts w:ascii="方正书宋_GBK" w:eastAsia="方正书宋_GBK"/>
              </w:rPr>
            </w:pPr>
          </w:p>
        </w:tc>
        <w:tc>
          <w:tcPr>
            <w:tcW w:w="573" w:type="dxa"/>
            <w:tcBorders>
              <w:tl2br w:val="nil"/>
              <w:tr2bl w:val="nil"/>
            </w:tcBorders>
            <w:vAlign w:val="center"/>
          </w:tcPr>
          <w:p w14:paraId="51FC8F10">
            <w:pPr>
              <w:widowControl/>
              <w:adjustRightInd w:val="0"/>
              <w:snapToGrid w:val="0"/>
              <w:rPr>
                <w:rFonts w:ascii="方正书宋_GBK" w:eastAsia="方正书宋_GBK"/>
              </w:rPr>
            </w:pPr>
          </w:p>
        </w:tc>
        <w:tc>
          <w:tcPr>
            <w:tcW w:w="1277" w:type="dxa"/>
            <w:tcBorders>
              <w:tl2br w:val="nil"/>
              <w:tr2bl w:val="nil"/>
            </w:tcBorders>
            <w:vAlign w:val="center"/>
          </w:tcPr>
          <w:p w14:paraId="69337364">
            <w:pPr>
              <w:widowControl/>
              <w:adjustRightInd w:val="0"/>
              <w:snapToGrid w:val="0"/>
              <w:rPr>
                <w:rFonts w:ascii="方正书宋_GBK" w:eastAsia="方正书宋_GBK"/>
              </w:rPr>
            </w:pPr>
          </w:p>
        </w:tc>
      </w:tr>
      <w:tr w14:paraId="56157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770" w:hRule="atLeast"/>
          <w:jc w:val="center"/>
        </w:trPr>
        <w:tc>
          <w:tcPr>
            <w:tcW w:w="558" w:type="dxa"/>
            <w:vMerge w:val="continue"/>
            <w:tcBorders>
              <w:tl2br w:val="nil"/>
              <w:tr2bl w:val="nil"/>
            </w:tcBorders>
            <w:vAlign w:val="center"/>
          </w:tcPr>
          <w:p w14:paraId="0903A0FB"/>
        </w:tc>
        <w:tc>
          <w:tcPr>
            <w:tcW w:w="825" w:type="dxa"/>
            <w:tcBorders>
              <w:tl2br w:val="nil"/>
              <w:tr2bl w:val="nil"/>
            </w:tcBorders>
            <w:vAlign w:val="center"/>
          </w:tcPr>
          <w:p w14:paraId="629E6302">
            <w:pPr>
              <w:adjustRightInd w:val="0"/>
              <w:snapToGrid w:val="0"/>
              <w:jc w:val="center"/>
              <w:rPr>
                <w:rFonts w:ascii="方正书宋_GBK" w:eastAsia="方正书宋_GBK"/>
              </w:rPr>
            </w:pPr>
            <w:r>
              <w:rPr>
                <w:rFonts w:hint="eastAsia" w:ascii="方正书宋_GBK" w:eastAsia="方正书宋_GBK"/>
              </w:rPr>
              <w:t>可持续影响</w:t>
            </w:r>
          </w:p>
        </w:tc>
        <w:tc>
          <w:tcPr>
            <w:tcW w:w="897" w:type="dxa"/>
            <w:tcBorders>
              <w:tl2br w:val="nil"/>
              <w:tr2bl w:val="nil"/>
            </w:tcBorders>
            <w:noWrap/>
            <w:vAlign w:val="center"/>
          </w:tcPr>
          <w:p w14:paraId="1BB4B1DB">
            <w:pPr>
              <w:widowControl/>
              <w:adjustRightInd w:val="0"/>
              <w:snapToGrid w:val="0"/>
              <w:rPr>
                <w:rFonts w:ascii="方正书宋_GBK" w:eastAsia="方正书宋_GBK"/>
              </w:rPr>
            </w:pPr>
          </w:p>
        </w:tc>
        <w:tc>
          <w:tcPr>
            <w:tcW w:w="2172" w:type="dxa"/>
            <w:tcBorders>
              <w:tl2br w:val="nil"/>
              <w:tr2bl w:val="nil"/>
            </w:tcBorders>
            <w:noWrap/>
            <w:vAlign w:val="center"/>
          </w:tcPr>
          <w:p w14:paraId="523A084B">
            <w:pPr>
              <w:widowControl/>
              <w:adjustRightInd w:val="0"/>
              <w:snapToGrid w:val="0"/>
              <w:rPr>
                <w:rFonts w:ascii="方正书宋_GBK" w:eastAsia="方正书宋_GBK"/>
              </w:rPr>
            </w:pPr>
          </w:p>
        </w:tc>
        <w:tc>
          <w:tcPr>
            <w:tcW w:w="1483" w:type="dxa"/>
            <w:tcBorders>
              <w:tl2br w:val="nil"/>
              <w:tr2bl w:val="nil"/>
            </w:tcBorders>
            <w:noWrap/>
            <w:vAlign w:val="center"/>
          </w:tcPr>
          <w:p w14:paraId="623BB243">
            <w:pPr>
              <w:widowControl/>
              <w:adjustRightInd w:val="0"/>
              <w:snapToGrid w:val="0"/>
              <w:rPr>
                <w:rFonts w:ascii="方正书宋_GBK" w:eastAsia="方正书宋_GBK"/>
              </w:rPr>
            </w:pPr>
          </w:p>
        </w:tc>
        <w:tc>
          <w:tcPr>
            <w:tcW w:w="543" w:type="dxa"/>
            <w:tcBorders>
              <w:tl2br w:val="nil"/>
              <w:tr2bl w:val="nil"/>
            </w:tcBorders>
            <w:vAlign w:val="center"/>
          </w:tcPr>
          <w:p w14:paraId="6643FE02">
            <w:pPr>
              <w:widowControl/>
              <w:adjustRightInd w:val="0"/>
              <w:snapToGrid w:val="0"/>
              <w:jc w:val="center"/>
              <w:rPr>
                <w:rFonts w:ascii="方正书宋_GBK" w:eastAsia="方正书宋_GBK"/>
              </w:rPr>
            </w:pPr>
          </w:p>
        </w:tc>
        <w:tc>
          <w:tcPr>
            <w:tcW w:w="488" w:type="dxa"/>
            <w:tcBorders>
              <w:tl2br w:val="nil"/>
              <w:tr2bl w:val="nil"/>
            </w:tcBorders>
            <w:vAlign w:val="center"/>
          </w:tcPr>
          <w:p w14:paraId="7B022D16">
            <w:pPr>
              <w:widowControl/>
              <w:adjustRightInd w:val="0"/>
              <w:snapToGrid w:val="0"/>
              <w:jc w:val="center"/>
              <w:rPr>
                <w:rFonts w:ascii="方正书宋_GBK" w:eastAsia="方正书宋_GBK"/>
              </w:rPr>
            </w:pPr>
          </w:p>
        </w:tc>
        <w:tc>
          <w:tcPr>
            <w:tcW w:w="573" w:type="dxa"/>
            <w:tcBorders>
              <w:tl2br w:val="nil"/>
              <w:tr2bl w:val="nil"/>
            </w:tcBorders>
            <w:vAlign w:val="center"/>
          </w:tcPr>
          <w:p w14:paraId="6AF190BA">
            <w:pPr>
              <w:widowControl/>
              <w:adjustRightInd w:val="0"/>
              <w:snapToGrid w:val="0"/>
              <w:jc w:val="center"/>
              <w:rPr>
                <w:rFonts w:ascii="方正书宋_GBK" w:eastAsia="方正书宋_GBK"/>
              </w:rPr>
            </w:pPr>
          </w:p>
        </w:tc>
        <w:tc>
          <w:tcPr>
            <w:tcW w:w="1277" w:type="dxa"/>
            <w:tcBorders>
              <w:tl2br w:val="nil"/>
              <w:tr2bl w:val="nil"/>
            </w:tcBorders>
            <w:vAlign w:val="center"/>
          </w:tcPr>
          <w:p w14:paraId="33B75A78">
            <w:pPr>
              <w:widowControl/>
              <w:adjustRightInd w:val="0"/>
              <w:snapToGrid w:val="0"/>
              <w:rPr>
                <w:rFonts w:ascii="方正书宋_GBK" w:eastAsia="方正书宋_GBK"/>
              </w:rPr>
            </w:pPr>
          </w:p>
        </w:tc>
      </w:tr>
      <w:tr w14:paraId="04DBD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04" w:hRule="atLeast"/>
          <w:jc w:val="center"/>
        </w:trPr>
        <w:tc>
          <w:tcPr>
            <w:tcW w:w="558" w:type="dxa"/>
            <w:vMerge w:val="continue"/>
            <w:tcBorders>
              <w:tl2br w:val="nil"/>
              <w:tr2bl w:val="nil"/>
            </w:tcBorders>
            <w:vAlign w:val="center"/>
          </w:tcPr>
          <w:p w14:paraId="0CC2B73D"/>
        </w:tc>
        <w:tc>
          <w:tcPr>
            <w:tcW w:w="825" w:type="dxa"/>
            <w:tcBorders>
              <w:tl2br w:val="nil"/>
              <w:tr2bl w:val="nil"/>
            </w:tcBorders>
            <w:vAlign w:val="center"/>
          </w:tcPr>
          <w:p w14:paraId="041293E4">
            <w:pPr>
              <w:widowControl/>
              <w:adjustRightInd w:val="0"/>
              <w:snapToGrid w:val="0"/>
              <w:jc w:val="center"/>
              <w:rPr>
                <w:rFonts w:ascii="方正书宋_GBK" w:eastAsia="方正书宋_GBK"/>
              </w:rPr>
            </w:pPr>
            <w:r>
              <w:rPr>
                <w:rFonts w:hint="eastAsia" w:ascii="方正书宋_GBK" w:eastAsia="方正书宋_GBK"/>
              </w:rPr>
              <w:t>满意度</w:t>
            </w:r>
          </w:p>
        </w:tc>
        <w:tc>
          <w:tcPr>
            <w:tcW w:w="897" w:type="dxa"/>
            <w:tcBorders>
              <w:tl2br w:val="nil"/>
              <w:tr2bl w:val="nil"/>
            </w:tcBorders>
            <w:noWrap/>
            <w:vAlign w:val="center"/>
          </w:tcPr>
          <w:p w14:paraId="6CC6F181">
            <w:pPr>
              <w:widowControl/>
              <w:adjustRightInd w:val="0"/>
              <w:snapToGrid w:val="0"/>
              <w:rPr>
                <w:rFonts w:ascii="方正书宋_GBK" w:eastAsia="方正书宋_GBK"/>
              </w:rPr>
            </w:pPr>
            <w:r>
              <w:rPr>
                <w:rFonts w:hint="eastAsia" w:ascii="方正书宋_GBK" w:eastAsia="方正书宋_GBK"/>
              </w:rPr>
              <w:t>服务对象满意度指标</w:t>
            </w:r>
          </w:p>
        </w:tc>
        <w:tc>
          <w:tcPr>
            <w:tcW w:w="2172" w:type="dxa"/>
            <w:tcBorders>
              <w:tl2br w:val="nil"/>
              <w:tr2bl w:val="nil"/>
            </w:tcBorders>
            <w:noWrap/>
            <w:vAlign w:val="center"/>
          </w:tcPr>
          <w:p w14:paraId="1E42EBB3">
            <w:pPr>
              <w:widowControl/>
              <w:adjustRightInd w:val="0"/>
              <w:snapToGrid w:val="0"/>
              <w:rPr>
                <w:rFonts w:ascii="方正书宋_GBK" w:eastAsia="方正书宋_GBK"/>
              </w:rPr>
            </w:pPr>
            <w:r>
              <w:rPr>
                <w:rFonts w:hint="eastAsia" w:ascii="方正书宋_GBK" w:eastAsia="方正书宋_GBK"/>
              </w:rPr>
              <w:t>按完成比例得分</w:t>
            </w:r>
          </w:p>
        </w:tc>
        <w:tc>
          <w:tcPr>
            <w:tcW w:w="1483" w:type="dxa"/>
            <w:tcBorders>
              <w:tl2br w:val="nil"/>
              <w:tr2bl w:val="nil"/>
            </w:tcBorders>
            <w:noWrap/>
            <w:vAlign w:val="center"/>
          </w:tcPr>
          <w:p w14:paraId="01F38F2C">
            <w:pPr>
              <w:widowControl/>
              <w:adjustRightInd w:val="0"/>
              <w:snapToGrid w:val="0"/>
              <w:rPr>
                <w:rFonts w:ascii="方正书宋_GBK" w:eastAsia="方正书宋_GBK"/>
              </w:rPr>
            </w:pPr>
            <w:r>
              <w:rPr>
                <w:rFonts w:hint="eastAsia" w:ascii="方正书宋_GBK" w:eastAsia="方正书宋_GBK"/>
              </w:rPr>
              <w:t>入户走访或电话回访收集职工对工会帮扶救助工作的反馈意见</w:t>
            </w:r>
          </w:p>
        </w:tc>
        <w:tc>
          <w:tcPr>
            <w:tcW w:w="543" w:type="dxa"/>
            <w:tcBorders>
              <w:tl2br w:val="nil"/>
              <w:tr2bl w:val="nil"/>
            </w:tcBorders>
            <w:vAlign w:val="center"/>
          </w:tcPr>
          <w:p w14:paraId="0555FC99">
            <w:pPr>
              <w:widowControl/>
              <w:adjustRightInd w:val="0"/>
              <w:snapToGrid w:val="0"/>
              <w:rPr>
                <w:rFonts w:ascii="方正书宋_GBK" w:eastAsia="方正书宋_GBK"/>
              </w:rPr>
            </w:pPr>
            <w:r>
              <w:rPr>
                <w:rFonts w:hint="eastAsia" w:ascii="方正书宋_GBK" w:eastAsia="方正书宋_GBK"/>
              </w:rPr>
              <w:t>≥</w:t>
            </w:r>
          </w:p>
        </w:tc>
        <w:tc>
          <w:tcPr>
            <w:tcW w:w="488" w:type="dxa"/>
            <w:tcBorders>
              <w:tl2br w:val="nil"/>
              <w:tr2bl w:val="nil"/>
            </w:tcBorders>
            <w:vAlign w:val="center"/>
          </w:tcPr>
          <w:p w14:paraId="676ACF54">
            <w:pPr>
              <w:widowControl/>
              <w:adjustRightInd w:val="0"/>
              <w:snapToGrid w:val="0"/>
              <w:rPr>
                <w:rFonts w:ascii="方正书宋_GBK" w:eastAsia="方正书宋_GBK"/>
              </w:rPr>
            </w:pPr>
            <w:r>
              <w:rPr>
                <w:rFonts w:hint="eastAsia" w:ascii="方正书宋_GBK" w:eastAsia="方正书宋_GBK"/>
              </w:rPr>
              <w:t>90</w:t>
            </w:r>
          </w:p>
        </w:tc>
        <w:tc>
          <w:tcPr>
            <w:tcW w:w="573" w:type="dxa"/>
            <w:tcBorders>
              <w:tl2br w:val="nil"/>
              <w:tr2bl w:val="nil"/>
            </w:tcBorders>
            <w:vAlign w:val="center"/>
          </w:tcPr>
          <w:p w14:paraId="39670AF1">
            <w:pPr>
              <w:widowControl/>
              <w:adjustRightInd w:val="0"/>
              <w:snapToGrid w:val="0"/>
              <w:rPr>
                <w:rFonts w:ascii="方正书宋_GBK" w:eastAsia="方正书宋_GBK"/>
              </w:rPr>
            </w:pPr>
            <w:r>
              <w:rPr>
                <w:rFonts w:hint="eastAsia" w:ascii="方正书宋_GBK" w:eastAsia="方正书宋_GBK"/>
              </w:rPr>
              <w:t>%</w:t>
            </w:r>
          </w:p>
        </w:tc>
        <w:tc>
          <w:tcPr>
            <w:tcW w:w="1277" w:type="dxa"/>
            <w:tcBorders>
              <w:tl2br w:val="nil"/>
              <w:tr2bl w:val="nil"/>
            </w:tcBorders>
            <w:vAlign w:val="center"/>
          </w:tcPr>
          <w:p w14:paraId="7410AFC5">
            <w:pPr>
              <w:widowControl/>
              <w:adjustRightInd w:val="0"/>
              <w:snapToGrid w:val="0"/>
              <w:rPr>
                <w:rFonts w:ascii="方正书宋_GBK" w:eastAsia="方正书宋_GBK"/>
              </w:rPr>
            </w:pPr>
            <w:r>
              <w:rPr>
                <w:rFonts w:hint="eastAsia" w:ascii="方正书宋_GBK" w:eastAsia="方正书宋_GBK"/>
              </w:rPr>
              <w:t>调查问卷</w:t>
            </w:r>
          </w:p>
        </w:tc>
      </w:tr>
    </w:tbl>
    <w:p w14:paraId="7AA2801C">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第二部分资金绩效目标</w:t>
      </w:r>
    </w:p>
    <w:p w14:paraId="705E3204">
      <w:pPr>
        <w:ind w:firstLine="560" w:firstLineChars="200"/>
        <w:jc w:val="left"/>
        <w:outlineLvl w:val="1"/>
        <w:rPr>
          <w:rFonts w:ascii="Times New Roman" w:hAnsi="Times New Roman" w:eastAsia="仿宋_GB2312" w:cs="Times New Roman"/>
          <w:sz w:val="28"/>
        </w:rPr>
      </w:pPr>
      <w:r>
        <w:rPr>
          <w:rFonts w:ascii="Times New Roman" w:hAnsi="Times New Roman" w:eastAsia="仿宋_GB2312" w:cs="Times New Roman"/>
          <w:sz w:val="28"/>
        </w:rPr>
        <w:t>1.</w:t>
      </w:r>
      <w:r>
        <w:rPr>
          <w:rFonts w:ascii="方正仿宋_GBK" w:hAnsi="方正仿宋_GBK" w:eastAsia="方正仿宋_GBK" w:cs="方正仿宋_GBK"/>
          <w:color w:val="000000"/>
          <w:sz w:val="28"/>
        </w:rPr>
        <w:t>困难职工及劳模帮扶救助</w:t>
      </w:r>
      <w:r>
        <w:rPr>
          <w:rFonts w:ascii="Times New Roman" w:hAnsi="Times New Roman" w:eastAsia="仿宋_GB2312" w:cs="Times New Roman"/>
          <w:sz w:val="28"/>
        </w:rPr>
        <w:t>绩效目标表</w:t>
      </w:r>
    </w:p>
    <w:p w14:paraId="1F71CAD7">
      <w:pPr>
        <w:spacing w:line="14" w:lineRule="exact"/>
        <w:ind w:firstLine="420" w:firstLineChars="200"/>
        <w:jc w:val="center"/>
        <w:rPr>
          <w:rFonts w:ascii="Times New Roman" w:hAnsi="Times New Roman" w:eastAsia="仿宋_GB2312" w:cs="Times New Roman"/>
        </w:rPr>
      </w:pPr>
    </w:p>
    <w:tbl>
      <w:tblPr>
        <w:tblStyle w:val="8"/>
        <w:tblW w:w="14062"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409"/>
        <w:gridCol w:w="2268"/>
        <w:gridCol w:w="1985"/>
        <w:gridCol w:w="3402"/>
        <w:gridCol w:w="1843"/>
        <w:gridCol w:w="2155"/>
      </w:tblGrid>
      <w:tr w14:paraId="0AA51A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7463140E">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绩效目标</w:t>
            </w:r>
          </w:p>
        </w:tc>
        <w:tc>
          <w:tcPr>
            <w:tcW w:w="11653" w:type="dxa"/>
            <w:gridSpan w:val="5"/>
            <w:shd w:val="clear" w:color="auto" w:fill="auto"/>
            <w:vAlign w:val="center"/>
          </w:tcPr>
          <w:p w14:paraId="69EEC598">
            <w:pPr>
              <w:spacing w:line="300" w:lineRule="exact"/>
              <w:rPr>
                <w:rFonts w:ascii="Times New Roman" w:hAnsi="Times New Roman" w:eastAsia="仿宋_GB2312" w:cs="Times New Roman"/>
                <w:b/>
              </w:rPr>
            </w:pPr>
          </w:p>
        </w:tc>
      </w:tr>
      <w:tr w14:paraId="7B7F86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97" w:hRule="atLeast"/>
          <w:tblHeader/>
          <w:jc w:val="center"/>
        </w:trPr>
        <w:tc>
          <w:tcPr>
            <w:tcW w:w="2409" w:type="dxa"/>
            <w:shd w:val="clear" w:color="auto" w:fill="auto"/>
            <w:vAlign w:val="center"/>
          </w:tcPr>
          <w:p w14:paraId="7A475E4D">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一级指标</w:t>
            </w:r>
          </w:p>
        </w:tc>
        <w:tc>
          <w:tcPr>
            <w:tcW w:w="2268" w:type="dxa"/>
            <w:shd w:val="clear" w:color="auto" w:fill="auto"/>
            <w:vAlign w:val="center"/>
          </w:tcPr>
          <w:p w14:paraId="12E70169">
            <w:pPr>
              <w:spacing w:line="300" w:lineRule="exact"/>
              <w:jc w:val="center"/>
              <w:rPr>
                <w:rFonts w:ascii="Times New Roman" w:hAnsi="Times New Roman" w:eastAsia="仿宋_GB2312" w:cs="Times New Roman"/>
                <w:b/>
              </w:rPr>
            </w:pPr>
            <w:r>
              <w:rPr>
                <w:rFonts w:ascii="Times New Roman" w:hAnsi="Times New Roman" w:eastAsia="仿宋_GB2312" w:cs="Times New Roman"/>
                <w:b/>
              </w:rPr>
              <w:t>二级指标</w:t>
            </w:r>
          </w:p>
        </w:tc>
        <w:tc>
          <w:tcPr>
            <w:tcW w:w="1985" w:type="dxa"/>
            <w:shd w:val="clear" w:color="auto" w:fill="auto"/>
            <w:vAlign w:val="center"/>
          </w:tcPr>
          <w:p w14:paraId="0100E47E">
            <w:pPr>
              <w:spacing w:line="300" w:lineRule="exact"/>
              <w:jc w:val="center"/>
              <w:rPr>
                <w:rFonts w:ascii="Times New Roman" w:hAnsi="Times New Roman" w:eastAsia="仿宋_GB2312" w:cs="Times New Roman"/>
                <w:b/>
              </w:rPr>
            </w:pPr>
            <w:r>
              <w:rPr>
                <w:rFonts w:ascii="Times New Roman" w:hAnsi="Times New Roman" w:eastAsia="仿宋_GB2312" w:cs="Times New Roman"/>
                <w:b/>
              </w:rPr>
              <w:t>三级指标</w:t>
            </w:r>
          </w:p>
        </w:tc>
        <w:tc>
          <w:tcPr>
            <w:tcW w:w="3402" w:type="dxa"/>
            <w:shd w:val="clear" w:color="auto" w:fill="auto"/>
            <w:vAlign w:val="center"/>
          </w:tcPr>
          <w:p w14:paraId="0F1168AC">
            <w:pPr>
              <w:spacing w:line="300" w:lineRule="exact"/>
              <w:jc w:val="center"/>
              <w:rPr>
                <w:rFonts w:ascii="Times New Roman" w:hAnsi="Times New Roman" w:eastAsia="仿宋_GB2312" w:cs="Times New Roman"/>
                <w:b/>
              </w:rPr>
            </w:pPr>
            <w:r>
              <w:rPr>
                <w:rFonts w:ascii="Times New Roman" w:hAnsi="Times New Roman" w:eastAsia="仿宋_GB2312" w:cs="Times New Roman"/>
                <w:b/>
              </w:rPr>
              <w:t>绩效指标描述</w:t>
            </w:r>
          </w:p>
        </w:tc>
        <w:tc>
          <w:tcPr>
            <w:tcW w:w="1843" w:type="dxa"/>
            <w:shd w:val="clear" w:color="auto" w:fill="auto"/>
            <w:vAlign w:val="center"/>
          </w:tcPr>
          <w:p w14:paraId="3719EBC2">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w:t>
            </w:r>
          </w:p>
        </w:tc>
        <w:tc>
          <w:tcPr>
            <w:tcW w:w="2155" w:type="dxa"/>
            <w:shd w:val="clear" w:color="auto" w:fill="auto"/>
            <w:vAlign w:val="center"/>
          </w:tcPr>
          <w:p w14:paraId="6DA72C76">
            <w:pPr>
              <w:spacing w:line="300" w:lineRule="exact"/>
              <w:jc w:val="center"/>
              <w:rPr>
                <w:rFonts w:ascii="Times New Roman" w:hAnsi="Times New Roman" w:eastAsia="仿宋_GB2312" w:cs="Times New Roman"/>
                <w:b/>
              </w:rPr>
            </w:pPr>
            <w:r>
              <w:rPr>
                <w:rFonts w:ascii="Times New Roman" w:hAnsi="Times New Roman" w:eastAsia="仿宋_GB2312" w:cs="Times New Roman"/>
                <w:b/>
              </w:rPr>
              <w:t>指标值确定依据</w:t>
            </w:r>
          </w:p>
        </w:tc>
      </w:tr>
      <w:tr w14:paraId="53D8F5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7D72FB86">
            <w:pPr>
              <w:spacing w:line="300" w:lineRule="exact"/>
              <w:jc w:val="center"/>
              <w:rPr>
                <w:rFonts w:ascii="Times New Roman" w:hAnsi="Times New Roman" w:eastAsia="仿宋_GB2312" w:cs="Times New Roman"/>
              </w:rPr>
            </w:pPr>
            <w:r>
              <w:rPr>
                <w:rFonts w:ascii="Times New Roman" w:hAnsi="Times New Roman" w:eastAsia="仿宋_GB2312" w:cs="Times New Roman"/>
              </w:rPr>
              <w:t>产出指标</w:t>
            </w:r>
          </w:p>
        </w:tc>
        <w:tc>
          <w:tcPr>
            <w:tcW w:w="2268" w:type="dxa"/>
            <w:shd w:val="clear" w:color="auto" w:fill="auto"/>
            <w:vAlign w:val="center"/>
          </w:tcPr>
          <w:p w14:paraId="4433AC50">
            <w:pPr>
              <w:pStyle w:val="18"/>
              <w:rPr>
                <w:rFonts w:ascii="Times New Roman" w:hAnsi="Times New Roman" w:eastAsia="仿宋_GB2312" w:cs="Times New Roman"/>
              </w:rPr>
            </w:pPr>
            <w:r>
              <w:t>数量指标</w:t>
            </w:r>
          </w:p>
        </w:tc>
        <w:tc>
          <w:tcPr>
            <w:tcW w:w="1985" w:type="dxa"/>
            <w:shd w:val="clear" w:color="auto" w:fill="auto"/>
            <w:vAlign w:val="center"/>
          </w:tcPr>
          <w:p w14:paraId="4D8C17F5">
            <w:pPr>
              <w:pStyle w:val="18"/>
              <w:rPr>
                <w:rFonts w:ascii="Times New Roman" w:hAnsi="Times New Roman" w:eastAsia="仿宋_GB2312" w:cs="Times New Roman"/>
              </w:rPr>
            </w:pPr>
            <w:r>
              <w:t>救助人数</w:t>
            </w:r>
          </w:p>
        </w:tc>
        <w:tc>
          <w:tcPr>
            <w:tcW w:w="3402" w:type="dxa"/>
            <w:shd w:val="clear" w:color="auto" w:fill="auto"/>
            <w:vAlign w:val="center"/>
          </w:tcPr>
          <w:p w14:paraId="32293A1D">
            <w:pPr>
              <w:pStyle w:val="18"/>
              <w:rPr>
                <w:rFonts w:ascii="Times New Roman" w:hAnsi="Times New Roman" w:eastAsia="仿宋_GB2312" w:cs="Times New Roman"/>
              </w:rPr>
            </w:pPr>
            <w:r>
              <w:t>救助人数</w:t>
            </w:r>
          </w:p>
        </w:tc>
        <w:tc>
          <w:tcPr>
            <w:tcW w:w="1843" w:type="dxa"/>
            <w:shd w:val="clear" w:color="auto" w:fill="auto"/>
            <w:vAlign w:val="center"/>
          </w:tcPr>
          <w:p w14:paraId="26B0A6C1">
            <w:pPr>
              <w:pStyle w:val="18"/>
              <w:rPr>
                <w:rFonts w:ascii="Times New Roman" w:hAnsi="Times New Roman" w:eastAsia="仿宋_GB2312" w:cs="Times New Roman"/>
              </w:rPr>
            </w:pPr>
            <w:r>
              <w:rPr>
                <w:rFonts w:hint="eastAsia"/>
                <w:lang w:val="en-US" w:eastAsia="zh-CN"/>
              </w:rPr>
              <w:t>200</w:t>
            </w:r>
            <w:r>
              <w:t>人</w:t>
            </w:r>
          </w:p>
        </w:tc>
        <w:tc>
          <w:tcPr>
            <w:tcW w:w="2155" w:type="dxa"/>
            <w:shd w:val="clear" w:color="auto" w:fill="auto"/>
            <w:vAlign w:val="center"/>
          </w:tcPr>
          <w:p w14:paraId="35B2748C">
            <w:pPr>
              <w:pStyle w:val="18"/>
              <w:rPr>
                <w:rFonts w:ascii="Times New Roman" w:hAnsi="Times New Roman" w:eastAsia="仿宋_GB2312" w:cs="Times New Roman"/>
              </w:rPr>
            </w:pPr>
            <w:r>
              <w:rPr>
                <w:rFonts w:hint="eastAsia"/>
                <w:lang w:eastAsia="zh-CN"/>
              </w:rPr>
              <w:t>地方</w:t>
            </w:r>
            <w:r>
              <w:t>财政专项资金分配表</w:t>
            </w:r>
          </w:p>
        </w:tc>
      </w:tr>
      <w:tr w14:paraId="755E44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0D655D76">
            <w:pPr>
              <w:spacing w:line="300" w:lineRule="exact"/>
              <w:jc w:val="center"/>
              <w:rPr>
                <w:rFonts w:ascii="Times New Roman" w:hAnsi="Times New Roman" w:eastAsia="仿宋_GB2312" w:cs="Times New Roman"/>
              </w:rPr>
            </w:pPr>
          </w:p>
        </w:tc>
        <w:tc>
          <w:tcPr>
            <w:tcW w:w="2268" w:type="dxa"/>
            <w:shd w:val="clear" w:color="auto" w:fill="auto"/>
            <w:vAlign w:val="center"/>
          </w:tcPr>
          <w:p w14:paraId="0BD19E49">
            <w:pPr>
              <w:pStyle w:val="18"/>
              <w:rPr>
                <w:rFonts w:ascii="Times New Roman" w:hAnsi="Times New Roman" w:eastAsia="仿宋_GB2312" w:cs="Times New Roman"/>
              </w:rPr>
            </w:pPr>
            <w:r>
              <w:t>质量指标</w:t>
            </w:r>
          </w:p>
        </w:tc>
        <w:tc>
          <w:tcPr>
            <w:tcW w:w="1985" w:type="dxa"/>
            <w:shd w:val="clear" w:color="auto" w:fill="auto"/>
            <w:vAlign w:val="center"/>
          </w:tcPr>
          <w:p w14:paraId="6F40D599">
            <w:pPr>
              <w:pStyle w:val="18"/>
              <w:rPr>
                <w:rFonts w:ascii="Times New Roman" w:hAnsi="Times New Roman" w:eastAsia="仿宋_GB2312" w:cs="Times New Roman"/>
              </w:rPr>
            </w:pPr>
            <w:r>
              <w:t>救助准确率</w:t>
            </w:r>
          </w:p>
        </w:tc>
        <w:tc>
          <w:tcPr>
            <w:tcW w:w="3402" w:type="dxa"/>
            <w:shd w:val="clear" w:color="auto" w:fill="auto"/>
            <w:vAlign w:val="center"/>
          </w:tcPr>
          <w:p w14:paraId="0CAF6614">
            <w:pPr>
              <w:pStyle w:val="18"/>
              <w:rPr>
                <w:rFonts w:ascii="Times New Roman" w:hAnsi="Times New Roman" w:eastAsia="仿宋_GB2312" w:cs="Times New Roman"/>
              </w:rPr>
            </w:pPr>
            <w:r>
              <w:t>救助准确率</w:t>
            </w:r>
          </w:p>
        </w:tc>
        <w:tc>
          <w:tcPr>
            <w:tcW w:w="1843" w:type="dxa"/>
            <w:shd w:val="clear" w:color="auto" w:fill="auto"/>
            <w:vAlign w:val="center"/>
          </w:tcPr>
          <w:p w14:paraId="0BD06D76">
            <w:pPr>
              <w:pStyle w:val="18"/>
              <w:rPr>
                <w:rFonts w:ascii="Times New Roman" w:hAnsi="Times New Roman" w:eastAsia="仿宋_GB2312" w:cs="Times New Roman"/>
              </w:rPr>
            </w:pPr>
            <w:r>
              <w:t>≥90%</w:t>
            </w:r>
          </w:p>
        </w:tc>
        <w:tc>
          <w:tcPr>
            <w:tcW w:w="2155" w:type="dxa"/>
            <w:shd w:val="clear" w:color="auto" w:fill="auto"/>
            <w:vAlign w:val="center"/>
          </w:tcPr>
          <w:p w14:paraId="2DFCA119">
            <w:pPr>
              <w:pStyle w:val="18"/>
              <w:rPr>
                <w:rFonts w:ascii="Times New Roman" w:hAnsi="Times New Roman" w:eastAsia="仿宋_GB2312" w:cs="Times New Roman"/>
              </w:rPr>
            </w:pPr>
            <w:r>
              <w:t>工会202</w:t>
            </w:r>
            <w:r>
              <w:rPr>
                <w:rFonts w:hint="eastAsia"/>
                <w:lang w:val="en-US" w:eastAsia="zh-CN"/>
              </w:rPr>
              <w:t>3</w:t>
            </w:r>
            <w:r>
              <w:t>年工作计划</w:t>
            </w:r>
          </w:p>
        </w:tc>
      </w:tr>
      <w:tr w14:paraId="7B1EB9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0440F399">
            <w:pPr>
              <w:spacing w:line="300" w:lineRule="exact"/>
              <w:jc w:val="center"/>
              <w:rPr>
                <w:rFonts w:ascii="Times New Roman" w:hAnsi="Times New Roman" w:eastAsia="仿宋_GB2312" w:cs="Times New Roman"/>
              </w:rPr>
            </w:pPr>
          </w:p>
        </w:tc>
        <w:tc>
          <w:tcPr>
            <w:tcW w:w="2268" w:type="dxa"/>
            <w:shd w:val="clear" w:color="auto" w:fill="auto"/>
            <w:vAlign w:val="center"/>
          </w:tcPr>
          <w:p w14:paraId="15AE89A1">
            <w:pPr>
              <w:pStyle w:val="18"/>
              <w:rPr>
                <w:rFonts w:ascii="Times New Roman" w:hAnsi="Times New Roman" w:eastAsia="仿宋_GB2312" w:cs="Times New Roman"/>
              </w:rPr>
            </w:pPr>
            <w:r>
              <w:t>时效指标</w:t>
            </w:r>
          </w:p>
        </w:tc>
        <w:tc>
          <w:tcPr>
            <w:tcW w:w="1985" w:type="dxa"/>
            <w:shd w:val="clear" w:color="auto" w:fill="auto"/>
            <w:vAlign w:val="center"/>
          </w:tcPr>
          <w:p w14:paraId="23A23026">
            <w:pPr>
              <w:pStyle w:val="18"/>
              <w:rPr>
                <w:rFonts w:ascii="Times New Roman" w:hAnsi="Times New Roman" w:eastAsia="仿宋_GB2312" w:cs="Times New Roman"/>
              </w:rPr>
            </w:pPr>
            <w:r>
              <w:t>按时支出</w:t>
            </w:r>
          </w:p>
        </w:tc>
        <w:tc>
          <w:tcPr>
            <w:tcW w:w="3402" w:type="dxa"/>
            <w:shd w:val="clear" w:color="auto" w:fill="auto"/>
            <w:vAlign w:val="center"/>
          </w:tcPr>
          <w:p w14:paraId="20D00382">
            <w:pPr>
              <w:pStyle w:val="18"/>
              <w:rPr>
                <w:rFonts w:ascii="Times New Roman" w:hAnsi="Times New Roman" w:eastAsia="仿宋_GB2312" w:cs="Times New Roman"/>
              </w:rPr>
            </w:pPr>
            <w:r>
              <w:t>按时支出</w:t>
            </w:r>
          </w:p>
        </w:tc>
        <w:tc>
          <w:tcPr>
            <w:tcW w:w="1843" w:type="dxa"/>
            <w:shd w:val="clear" w:color="auto" w:fill="auto"/>
            <w:vAlign w:val="center"/>
          </w:tcPr>
          <w:p w14:paraId="6A0C5ED5">
            <w:pPr>
              <w:pStyle w:val="18"/>
              <w:rPr>
                <w:rFonts w:ascii="Times New Roman" w:hAnsi="Times New Roman" w:eastAsia="仿宋_GB2312" w:cs="Times New Roman"/>
              </w:rPr>
            </w:pPr>
            <w:r>
              <w:t>及时发放</w:t>
            </w:r>
          </w:p>
        </w:tc>
        <w:tc>
          <w:tcPr>
            <w:tcW w:w="2155" w:type="dxa"/>
            <w:shd w:val="clear" w:color="auto" w:fill="auto"/>
            <w:vAlign w:val="center"/>
          </w:tcPr>
          <w:p w14:paraId="1A14B895">
            <w:pPr>
              <w:pStyle w:val="18"/>
              <w:rPr>
                <w:rFonts w:ascii="Times New Roman" w:hAnsi="Times New Roman" w:eastAsia="仿宋_GB2312" w:cs="Times New Roman"/>
              </w:rPr>
            </w:pPr>
            <w:r>
              <w:t>工会202</w:t>
            </w:r>
            <w:r>
              <w:rPr>
                <w:rFonts w:hint="eastAsia"/>
                <w:lang w:val="en-US" w:eastAsia="zh-CN"/>
              </w:rPr>
              <w:t>3</w:t>
            </w:r>
            <w:r>
              <w:t>年预算</w:t>
            </w:r>
          </w:p>
        </w:tc>
      </w:tr>
      <w:tr w14:paraId="5533EA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7014D2DA">
            <w:pPr>
              <w:spacing w:line="300" w:lineRule="exact"/>
              <w:jc w:val="center"/>
              <w:rPr>
                <w:rFonts w:ascii="Times New Roman" w:hAnsi="Times New Roman" w:eastAsia="仿宋_GB2312" w:cs="Times New Roman"/>
              </w:rPr>
            </w:pPr>
          </w:p>
        </w:tc>
        <w:tc>
          <w:tcPr>
            <w:tcW w:w="2268" w:type="dxa"/>
            <w:shd w:val="clear" w:color="auto" w:fill="auto"/>
            <w:vAlign w:val="center"/>
          </w:tcPr>
          <w:p w14:paraId="211C484E">
            <w:pPr>
              <w:pStyle w:val="18"/>
              <w:rPr>
                <w:rFonts w:ascii="Times New Roman" w:hAnsi="Times New Roman" w:eastAsia="仿宋_GB2312" w:cs="Times New Roman"/>
              </w:rPr>
            </w:pPr>
            <w:r>
              <w:t>数量指标</w:t>
            </w:r>
          </w:p>
        </w:tc>
        <w:tc>
          <w:tcPr>
            <w:tcW w:w="1985" w:type="dxa"/>
            <w:shd w:val="clear" w:color="auto" w:fill="auto"/>
            <w:vAlign w:val="center"/>
          </w:tcPr>
          <w:p w14:paraId="6502CCBC">
            <w:pPr>
              <w:pStyle w:val="18"/>
              <w:rPr>
                <w:rFonts w:ascii="Times New Roman" w:hAnsi="Times New Roman" w:eastAsia="仿宋_GB2312" w:cs="Times New Roman"/>
              </w:rPr>
            </w:pPr>
            <w:r>
              <w:t>救助人数</w:t>
            </w:r>
          </w:p>
        </w:tc>
        <w:tc>
          <w:tcPr>
            <w:tcW w:w="3402" w:type="dxa"/>
            <w:shd w:val="clear" w:color="auto" w:fill="auto"/>
            <w:vAlign w:val="center"/>
          </w:tcPr>
          <w:p w14:paraId="6E1213C4">
            <w:pPr>
              <w:pStyle w:val="18"/>
              <w:rPr>
                <w:rFonts w:ascii="Times New Roman" w:hAnsi="Times New Roman" w:eastAsia="仿宋_GB2312" w:cs="Times New Roman"/>
              </w:rPr>
            </w:pPr>
            <w:r>
              <w:t>救助人数</w:t>
            </w:r>
          </w:p>
        </w:tc>
        <w:tc>
          <w:tcPr>
            <w:tcW w:w="1843" w:type="dxa"/>
            <w:shd w:val="clear" w:color="auto" w:fill="auto"/>
            <w:vAlign w:val="center"/>
          </w:tcPr>
          <w:p w14:paraId="1AE36A9D">
            <w:pPr>
              <w:pStyle w:val="18"/>
              <w:rPr>
                <w:rFonts w:ascii="Times New Roman" w:hAnsi="Times New Roman" w:eastAsia="仿宋_GB2312" w:cs="Times New Roman"/>
              </w:rPr>
            </w:pPr>
            <w:r>
              <w:t>2</w:t>
            </w:r>
            <w:r>
              <w:rPr>
                <w:rFonts w:hint="eastAsia"/>
                <w:lang w:val="en-US" w:eastAsia="zh-CN"/>
              </w:rPr>
              <w:t>00</w:t>
            </w:r>
            <w:r>
              <w:t>人</w:t>
            </w:r>
          </w:p>
        </w:tc>
        <w:tc>
          <w:tcPr>
            <w:tcW w:w="2155" w:type="dxa"/>
            <w:shd w:val="clear" w:color="auto" w:fill="auto"/>
            <w:vAlign w:val="center"/>
          </w:tcPr>
          <w:p w14:paraId="1F83E8E7">
            <w:pPr>
              <w:pStyle w:val="18"/>
              <w:rPr>
                <w:rFonts w:ascii="Times New Roman" w:hAnsi="Times New Roman" w:eastAsia="仿宋_GB2312" w:cs="Times New Roman"/>
              </w:rPr>
            </w:pPr>
            <w:r>
              <w:rPr>
                <w:rFonts w:hint="eastAsia"/>
                <w:lang w:eastAsia="zh-CN"/>
              </w:rPr>
              <w:t>地方</w:t>
            </w:r>
            <w:r>
              <w:t>财政专项资金分配表</w:t>
            </w:r>
          </w:p>
        </w:tc>
      </w:tr>
      <w:tr w14:paraId="39E193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restart"/>
            <w:shd w:val="clear" w:color="auto" w:fill="auto"/>
            <w:vAlign w:val="center"/>
          </w:tcPr>
          <w:p w14:paraId="48199185">
            <w:pPr>
              <w:spacing w:line="300" w:lineRule="exact"/>
              <w:jc w:val="center"/>
              <w:rPr>
                <w:rFonts w:ascii="Times New Roman" w:hAnsi="Times New Roman" w:eastAsia="仿宋_GB2312" w:cs="Times New Roman"/>
              </w:rPr>
            </w:pPr>
            <w:r>
              <w:rPr>
                <w:rFonts w:ascii="Times New Roman" w:hAnsi="Times New Roman" w:eastAsia="仿宋_GB2312" w:cs="Times New Roman"/>
              </w:rPr>
              <w:t>效果指标</w:t>
            </w:r>
          </w:p>
        </w:tc>
        <w:tc>
          <w:tcPr>
            <w:tcW w:w="2268" w:type="dxa"/>
            <w:shd w:val="clear" w:color="auto" w:fill="auto"/>
            <w:vAlign w:val="center"/>
          </w:tcPr>
          <w:p w14:paraId="44BEE16E">
            <w:pPr>
              <w:pStyle w:val="18"/>
              <w:rPr>
                <w:rFonts w:ascii="Times New Roman" w:hAnsi="Times New Roman" w:eastAsia="仿宋_GB2312" w:cs="Times New Roman"/>
              </w:rPr>
            </w:pPr>
            <w:r>
              <w:t>社会效益指标</w:t>
            </w:r>
          </w:p>
        </w:tc>
        <w:tc>
          <w:tcPr>
            <w:tcW w:w="1985" w:type="dxa"/>
            <w:shd w:val="clear" w:color="auto" w:fill="auto"/>
            <w:vAlign w:val="center"/>
          </w:tcPr>
          <w:p w14:paraId="6791651B">
            <w:pPr>
              <w:pStyle w:val="18"/>
              <w:rPr>
                <w:rFonts w:ascii="Times New Roman" w:hAnsi="Times New Roman" w:eastAsia="仿宋_GB2312" w:cs="Times New Roman"/>
              </w:rPr>
            </w:pPr>
            <w:r>
              <w:t>困难群众生活水平提升情况</w:t>
            </w:r>
          </w:p>
        </w:tc>
        <w:tc>
          <w:tcPr>
            <w:tcW w:w="3402" w:type="dxa"/>
            <w:shd w:val="clear" w:color="auto" w:fill="auto"/>
            <w:vAlign w:val="center"/>
          </w:tcPr>
          <w:p w14:paraId="2E602BB5">
            <w:pPr>
              <w:pStyle w:val="18"/>
              <w:rPr>
                <w:rFonts w:ascii="Times New Roman" w:hAnsi="Times New Roman" w:eastAsia="仿宋_GB2312" w:cs="Times New Roman"/>
              </w:rPr>
            </w:pPr>
            <w:r>
              <w:t>帮扶救助后，职工困难得到缓解，生活状况有所提高</w:t>
            </w:r>
          </w:p>
        </w:tc>
        <w:tc>
          <w:tcPr>
            <w:tcW w:w="1843" w:type="dxa"/>
            <w:shd w:val="clear" w:color="auto" w:fill="auto"/>
            <w:vAlign w:val="center"/>
          </w:tcPr>
          <w:p w14:paraId="11C5AE6E">
            <w:pPr>
              <w:pStyle w:val="18"/>
              <w:rPr>
                <w:rFonts w:ascii="Times New Roman" w:hAnsi="Times New Roman" w:eastAsia="仿宋_GB2312" w:cs="Times New Roman"/>
              </w:rPr>
            </w:pPr>
            <w:r>
              <w:t>苦难职工生活状况得到改善</w:t>
            </w:r>
          </w:p>
        </w:tc>
        <w:tc>
          <w:tcPr>
            <w:tcW w:w="2155" w:type="dxa"/>
            <w:shd w:val="clear" w:color="auto" w:fill="auto"/>
            <w:vAlign w:val="center"/>
          </w:tcPr>
          <w:p w14:paraId="534F85CC">
            <w:pPr>
              <w:pStyle w:val="18"/>
              <w:rPr>
                <w:rFonts w:ascii="Times New Roman" w:hAnsi="Times New Roman" w:eastAsia="仿宋_GB2312" w:cs="Times New Roman"/>
              </w:rPr>
            </w:pPr>
            <w:r>
              <w:t>工会2022年工作计划</w:t>
            </w:r>
          </w:p>
        </w:tc>
      </w:tr>
      <w:tr w14:paraId="0B0F98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vMerge w:val="continue"/>
            <w:shd w:val="clear" w:color="auto" w:fill="auto"/>
            <w:vAlign w:val="center"/>
          </w:tcPr>
          <w:p w14:paraId="00E05556">
            <w:pPr>
              <w:spacing w:line="300" w:lineRule="exact"/>
              <w:jc w:val="center"/>
              <w:rPr>
                <w:rFonts w:ascii="Times New Roman" w:hAnsi="Times New Roman" w:eastAsia="仿宋_GB2312" w:cs="Times New Roman"/>
              </w:rPr>
            </w:pPr>
          </w:p>
        </w:tc>
        <w:tc>
          <w:tcPr>
            <w:tcW w:w="2268" w:type="dxa"/>
            <w:shd w:val="clear" w:color="auto" w:fill="auto"/>
            <w:vAlign w:val="center"/>
          </w:tcPr>
          <w:p w14:paraId="52B8BD17">
            <w:pPr>
              <w:pStyle w:val="18"/>
              <w:rPr>
                <w:rFonts w:ascii="Times New Roman" w:hAnsi="Times New Roman" w:eastAsia="仿宋_GB2312" w:cs="Times New Roman"/>
              </w:rPr>
            </w:pPr>
          </w:p>
        </w:tc>
        <w:tc>
          <w:tcPr>
            <w:tcW w:w="1985" w:type="dxa"/>
            <w:shd w:val="clear" w:color="auto" w:fill="auto"/>
            <w:vAlign w:val="center"/>
          </w:tcPr>
          <w:p w14:paraId="7B99D9D7">
            <w:pPr>
              <w:pStyle w:val="18"/>
              <w:rPr>
                <w:rFonts w:ascii="Times New Roman" w:hAnsi="Times New Roman" w:eastAsia="仿宋_GB2312" w:cs="Times New Roman"/>
              </w:rPr>
            </w:pPr>
          </w:p>
        </w:tc>
        <w:tc>
          <w:tcPr>
            <w:tcW w:w="3402" w:type="dxa"/>
            <w:shd w:val="clear" w:color="auto" w:fill="auto"/>
            <w:vAlign w:val="center"/>
          </w:tcPr>
          <w:p w14:paraId="17FEC1DD">
            <w:pPr>
              <w:pStyle w:val="18"/>
              <w:rPr>
                <w:rFonts w:ascii="Times New Roman" w:hAnsi="Times New Roman" w:eastAsia="仿宋_GB2312" w:cs="Times New Roman"/>
              </w:rPr>
            </w:pPr>
          </w:p>
        </w:tc>
        <w:tc>
          <w:tcPr>
            <w:tcW w:w="1843" w:type="dxa"/>
            <w:shd w:val="clear" w:color="auto" w:fill="auto"/>
            <w:vAlign w:val="center"/>
          </w:tcPr>
          <w:p w14:paraId="138D83C9">
            <w:pPr>
              <w:pStyle w:val="18"/>
              <w:rPr>
                <w:rFonts w:ascii="Times New Roman" w:hAnsi="Times New Roman" w:eastAsia="仿宋_GB2312" w:cs="Times New Roman"/>
              </w:rPr>
            </w:pPr>
          </w:p>
        </w:tc>
        <w:tc>
          <w:tcPr>
            <w:tcW w:w="2155" w:type="dxa"/>
            <w:shd w:val="clear" w:color="auto" w:fill="auto"/>
            <w:vAlign w:val="center"/>
          </w:tcPr>
          <w:p w14:paraId="46B3852B">
            <w:pPr>
              <w:pStyle w:val="18"/>
              <w:rPr>
                <w:rFonts w:ascii="Times New Roman" w:hAnsi="Times New Roman" w:eastAsia="仿宋_GB2312" w:cs="Times New Roman"/>
              </w:rPr>
            </w:pPr>
          </w:p>
        </w:tc>
      </w:tr>
      <w:tr w14:paraId="167454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369" w:hRule="atLeast"/>
          <w:jc w:val="center"/>
        </w:trPr>
        <w:tc>
          <w:tcPr>
            <w:tcW w:w="2409" w:type="dxa"/>
            <w:shd w:val="clear" w:color="auto" w:fill="auto"/>
            <w:vAlign w:val="center"/>
          </w:tcPr>
          <w:p w14:paraId="213BF68E">
            <w:pPr>
              <w:spacing w:line="300" w:lineRule="exact"/>
              <w:jc w:val="center"/>
              <w:rPr>
                <w:rFonts w:ascii="Times New Roman" w:hAnsi="Times New Roman" w:eastAsia="仿宋_GB2312" w:cs="Times New Roman"/>
              </w:rPr>
            </w:pPr>
            <w:r>
              <w:rPr>
                <w:rFonts w:ascii="Times New Roman" w:hAnsi="Times New Roman" w:eastAsia="仿宋_GB2312" w:cs="Times New Roman"/>
              </w:rPr>
              <w:t>满意度指标</w:t>
            </w:r>
          </w:p>
        </w:tc>
        <w:tc>
          <w:tcPr>
            <w:tcW w:w="2268" w:type="dxa"/>
            <w:shd w:val="clear" w:color="auto" w:fill="auto"/>
            <w:vAlign w:val="center"/>
          </w:tcPr>
          <w:p w14:paraId="663A78BB">
            <w:pPr>
              <w:pStyle w:val="18"/>
              <w:rPr>
                <w:rFonts w:ascii="Times New Roman" w:hAnsi="Times New Roman" w:eastAsia="仿宋_GB2312" w:cs="Times New Roman"/>
              </w:rPr>
            </w:pPr>
            <w:r>
              <w:t>服务对象满意度指标</w:t>
            </w:r>
          </w:p>
        </w:tc>
        <w:tc>
          <w:tcPr>
            <w:tcW w:w="1985" w:type="dxa"/>
            <w:shd w:val="clear" w:color="auto" w:fill="auto"/>
            <w:vAlign w:val="center"/>
          </w:tcPr>
          <w:p w14:paraId="5F48AF04">
            <w:pPr>
              <w:pStyle w:val="18"/>
              <w:rPr>
                <w:rFonts w:ascii="Times New Roman" w:hAnsi="Times New Roman" w:eastAsia="仿宋_GB2312" w:cs="Times New Roman"/>
              </w:rPr>
            </w:pPr>
            <w:r>
              <w:t>受助对象满意度</w:t>
            </w:r>
          </w:p>
        </w:tc>
        <w:tc>
          <w:tcPr>
            <w:tcW w:w="3402" w:type="dxa"/>
            <w:shd w:val="clear" w:color="auto" w:fill="auto"/>
            <w:vAlign w:val="center"/>
          </w:tcPr>
          <w:p w14:paraId="3BCA7851">
            <w:pPr>
              <w:pStyle w:val="18"/>
              <w:rPr>
                <w:rFonts w:ascii="Times New Roman" w:hAnsi="Times New Roman" w:eastAsia="仿宋_GB2312" w:cs="Times New Roman"/>
              </w:rPr>
            </w:pPr>
            <w:r>
              <w:t>入户走访或者电话回访收集职工对工会帮扶救助工作的反馈意见</w:t>
            </w:r>
          </w:p>
        </w:tc>
        <w:tc>
          <w:tcPr>
            <w:tcW w:w="1843" w:type="dxa"/>
            <w:shd w:val="clear" w:color="auto" w:fill="auto"/>
            <w:vAlign w:val="center"/>
          </w:tcPr>
          <w:p w14:paraId="737EB864">
            <w:pPr>
              <w:pStyle w:val="18"/>
              <w:rPr>
                <w:rFonts w:ascii="Times New Roman" w:hAnsi="Times New Roman" w:eastAsia="仿宋_GB2312" w:cs="Times New Roman"/>
              </w:rPr>
            </w:pPr>
            <w:r>
              <w:t>≥90%</w:t>
            </w:r>
          </w:p>
        </w:tc>
        <w:tc>
          <w:tcPr>
            <w:tcW w:w="2155" w:type="dxa"/>
            <w:shd w:val="clear" w:color="auto" w:fill="auto"/>
            <w:vAlign w:val="center"/>
          </w:tcPr>
          <w:p w14:paraId="25130D93">
            <w:pPr>
              <w:pStyle w:val="18"/>
              <w:rPr>
                <w:rFonts w:ascii="Times New Roman" w:hAnsi="Times New Roman" w:eastAsia="仿宋_GB2312" w:cs="Times New Roman"/>
              </w:rPr>
            </w:pPr>
            <w:r>
              <w:t>调查问卷</w:t>
            </w:r>
          </w:p>
        </w:tc>
      </w:tr>
    </w:tbl>
    <w:p w14:paraId="6E842BB7">
      <w:pPr>
        <w:autoSpaceDE w:val="0"/>
        <w:autoSpaceDN w:val="0"/>
        <w:adjustRightInd w:val="0"/>
        <w:spacing w:line="584" w:lineRule="exact"/>
        <w:ind w:firstLine="880" w:firstLineChars="200"/>
        <w:jc w:val="left"/>
        <w:rPr>
          <w:rFonts w:ascii="Times New Roman" w:hAnsi="黑体" w:eastAsia="黑体" w:cs="Times New Roman"/>
          <w:color w:val="FF0000"/>
          <w:sz w:val="44"/>
          <w:szCs w:val="44"/>
        </w:rPr>
      </w:pPr>
    </w:p>
    <w:p w14:paraId="26B7B4F2">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14:paraId="30FE5555">
      <w:pPr>
        <w:spacing w:line="584" w:lineRule="exact"/>
        <w:ind w:firstLine="640" w:firstLineChars="200"/>
        <w:outlineLvl w:val="0"/>
        <w:rPr>
          <w:rFonts w:ascii="Times New Roman" w:hAnsi="Times New Roman" w:eastAsia="仿宋_GB2312" w:cs="Times New Roman"/>
          <w:sz w:val="32"/>
          <w:szCs w:val="24"/>
        </w:rPr>
      </w:pPr>
      <w:bookmarkStart w:id="0" w:name="_Toc471398468"/>
      <w:r>
        <w:rPr>
          <w:rFonts w:ascii="Times New Roman" w:hAnsi="Times New Roman" w:eastAsia="仿宋_GB2312" w:cs="Times New Roman"/>
          <w:sz w:val="32"/>
          <w:szCs w:val="24"/>
        </w:rPr>
        <w:t>2023年，我部门安排政府采购预算</w:t>
      </w:r>
      <w:r>
        <w:rPr>
          <w:rFonts w:hint="eastAsia" w:ascii="Times New Roman" w:hAnsi="Times New Roman" w:eastAsia="仿宋_GB2312" w:cs="Times New Roman"/>
          <w:sz w:val="32"/>
          <w:szCs w:val="24"/>
          <w:lang w:val="en-US" w:eastAsia="zh-CN"/>
        </w:rPr>
        <w:t>0</w:t>
      </w:r>
      <w:r>
        <w:rPr>
          <w:rFonts w:ascii="Times New Roman" w:hAnsi="Times New Roman" w:eastAsia="仿宋_GB2312" w:cs="Times New Roman"/>
          <w:sz w:val="32"/>
          <w:szCs w:val="24"/>
        </w:rPr>
        <w:t>万元。具体内容见下表。</w:t>
      </w:r>
    </w:p>
    <w:bookmarkEnd w:id="0"/>
    <w:p w14:paraId="1CF8E6A0">
      <w:pPr>
        <w:spacing w:line="584" w:lineRule="exact"/>
        <w:jc w:val="left"/>
        <w:outlineLvl w:val="0"/>
        <w:rPr>
          <w:rFonts w:ascii="Times New Roman" w:hAnsi="Times New Roman" w:eastAsia="仿宋_GB2312" w:cs="Times New Roman"/>
        </w:rPr>
      </w:pPr>
    </w:p>
    <w:p w14:paraId="3D92049D">
      <w:pPr>
        <w:jc w:val="center"/>
        <w:outlineLvl w:val="1"/>
        <w:rPr>
          <w:rFonts w:ascii="方正小标宋_GBK" w:eastAsia="方正小标宋_GBK" w:cs="Times New Roman"/>
          <w:sz w:val="32"/>
        </w:rPr>
      </w:pPr>
      <w:bookmarkStart w:id="1" w:name="_Toc64920910"/>
      <w:r>
        <w:rPr>
          <w:rFonts w:hint="eastAsia" w:ascii="方正小标宋_GBK" w:eastAsia="方正小标宋_GBK" w:cs="Times New Roman"/>
          <w:sz w:val="32"/>
        </w:rPr>
        <w:t>部门政府采购预算</w:t>
      </w:r>
      <w:bookmarkEnd w:id="1"/>
    </w:p>
    <w:p w14:paraId="0BA9E33B">
      <w:pPr>
        <w:outlineLvl w:val="1"/>
        <w:rPr>
          <w:rFonts w:ascii="方正小标宋_GBK" w:eastAsia="方正小标宋_GBK" w:cs="Times New Roman"/>
          <w:sz w:val="32"/>
        </w:rPr>
      </w:pPr>
      <w:r>
        <w:rPr>
          <w:rFonts w:hint="eastAsia"/>
          <w:lang w:eastAsia="zh-CN"/>
        </w:rPr>
        <w:t>编制部门：</w:t>
      </w:r>
      <w:r>
        <w:t>永清县</w:t>
      </w:r>
      <w:r>
        <w:rPr>
          <w:rFonts w:hint="eastAsia"/>
          <w:lang w:eastAsia="zh-CN"/>
        </w:rPr>
        <w:t>总工会</w:t>
      </w:r>
      <w:r>
        <w:t xml:space="preserve">                                                                                                     单位：万元</w:t>
      </w:r>
    </w:p>
    <w:tbl>
      <w:tblPr>
        <w:tblStyle w:val="8"/>
        <w:tblW w:w="1541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097"/>
        <w:gridCol w:w="964"/>
        <w:gridCol w:w="1134"/>
        <w:gridCol w:w="1134"/>
        <w:gridCol w:w="709"/>
        <w:gridCol w:w="850"/>
        <w:gridCol w:w="850"/>
        <w:gridCol w:w="964"/>
        <w:gridCol w:w="964"/>
        <w:gridCol w:w="964"/>
        <w:gridCol w:w="964"/>
        <w:gridCol w:w="964"/>
        <w:gridCol w:w="964"/>
        <w:gridCol w:w="964"/>
        <w:gridCol w:w="964"/>
        <w:gridCol w:w="964"/>
      </w:tblGrid>
      <w:tr w14:paraId="10FC22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061" w:type="dxa"/>
            <w:gridSpan w:val="2"/>
            <w:vAlign w:val="center"/>
          </w:tcPr>
          <w:p w14:paraId="23D52F5F">
            <w:pPr>
              <w:pStyle w:val="16"/>
            </w:pPr>
            <w:r>
              <w:t>政府采购项目来源</w:t>
            </w:r>
          </w:p>
        </w:tc>
        <w:tc>
          <w:tcPr>
            <w:tcW w:w="1134" w:type="dxa"/>
            <w:vMerge w:val="restart"/>
            <w:vAlign w:val="center"/>
          </w:tcPr>
          <w:p w14:paraId="18B9670E">
            <w:pPr>
              <w:pStyle w:val="16"/>
            </w:pPr>
            <w:r>
              <w:t>采购物品名称</w:t>
            </w:r>
          </w:p>
        </w:tc>
        <w:tc>
          <w:tcPr>
            <w:tcW w:w="1134" w:type="dxa"/>
            <w:vMerge w:val="restart"/>
            <w:vAlign w:val="center"/>
          </w:tcPr>
          <w:p w14:paraId="368CC873">
            <w:pPr>
              <w:pStyle w:val="16"/>
            </w:pPr>
            <w:r>
              <w:t>政府采购目录序号</w:t>
            </w:r>
          </w:p>
        </w:tc>
        <w:tc>
          <w:tcPr>
            <w:tcW w:w="709" w:type="dxa"/>
            <w:vMerge w:val="restart"/>
            <w:vAlign w:val="center"/>
          </w:tcPr>
          <w:p w14:paraId="429C14B6">
            <w:pPr>
              <w:pStyle w:val="16"/>
            </w:pPr>
            <w:r>
              <w:t>计量  单位</w:t>
            </w:r>
          </w:p>
        </w:tc>
        <w:tc>
          <w:tcPr>
            <w:tcW w:w="850" w:type="dxa"/>
            <w:vMerge w:val="restart"/>
            <w:vAlign w:val="center"/>
          </w:tcPr>
          <w:p w14:paraId="3DA50425">
            <w:pPr>
              <w:pStyle w:val="16"/>
            </w:pPr>
            <w:r>
              <w:t>数量</w:t>
            </w:r>
          </w:p>
        </w:tc>
        <w:tc>
          <w:tcPr>
            <w:tcW w:w="850" w:type="dxa"/>
            <w:vMerge w:val="restart"/>
            <w:vAlign w:val="center"/>
          </w:tcPr>
          <w:p w14:paraId="1358F1C5">
            <w:pPr>
              <w:pStyle w:val="16"/>
            </w:pPr>
            <w:r>
              <w:t>单价</w:t>
            </w:r>
          </w:p>
        </w:tc>
        <w:tc>
          <w:tcPr>
            <w:tcW w:w="7712" w:type="dxa"/>
            <w:gridSpan w:val="8"/>
            <w:vAlign w:val="center"/>
          </w:tcPr>
          <w:p w14:paraId="49EB8C8E">
            <w:pPr>
              <w:pStyle w:val="16"/>
            </w:pPr>
            <w:r>
              <w:t>政府采购金额（当年部门预算安排资金）</w:t>
            </w:r>
          </w:p>
        </w:tc>
        <w:tc>
          <w:tcPr>
            <w:tcW w:w="964" w:type="dxa"/>
            <w:vMerge w:val="restart"/>
            <w:vAlign w:val="center"/>
          </w:tcPr>
          <w:p w14:paraId="12A3B90A">
            <w:pPr>
              <w:pStyle w:val="16"/>
            </w:pPr>
            <w:r>
              <w:t>2023年  预留中  小微企  业份额</w:t>
            </w:r>
          </w:p>
        </w:tc>
      </w:tr>
      <w:tr w14:paraId="2C5DEEF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097" w:type="dxa"/>
            <w:vAlign w:val="center"/>
          </w:tcPr>
          <w:p w14:paraId="432D7917">
            <w:pPr>
              <w:pStyle w:val="16"/>
            </w:pPr>
            <w:r>
              <w:t>项目名称</w:t>
            </w:r>
          </w:p>
        </w:tc>
        <w:tc>
          <w:tcPr>
            <w:tcW w:w="964" w:type="dxa"/>
            <w:vAlign w:val="center"/>
          </w:tcPr>
          <w:p w14:paraId="7A3F6DE1">
            <w:pPr>
              <w:pStyle w:val="16"/>
            </w:pPr>
            <w:r>
              <w:t>预算    资金</w:t>
            </w:r>
          </w:p>
        </w:tc>
        <w:tc>
          <w:tcPr>
            <w:tcW w:w="1134" w:type="dxa"/>
            <w:vMerge w:val="continue"/>
          </w:tcPr>
          <w:p w14:paraId="311002F2"/>
        </w:tc>
        <w:tc>
          <w:tcPr>
            <w:tcW w:w="1134" w:type="dxa"/>
            <w:vMerge w:val="continue"/>
          </w:tcPr>
          <w:p w14:paraId="0A1EC5F2"/>
        </w:tc>
        <w:tc>
          <w:tcPr>
            <w:tcW w:w="709" w:type="dxa"/>
            <w:vMerge w:val="continue"/>
          </w:tcPr>
          <w:p w14:paraId="15323268"/>
        </w:tc>
        <w:tc>
          <w:tcPr>
            <w:tcW w:w="850" w:type="dxa"/>
            <w:vMerge w:val="continue"/>
          </w:tcPr>
          <w:p w14:paraId="071AC1CF"/>
        </w:tc>
        <w:tc>
          <w:tcPr>
            <w:tcW w:w="850" w:type="dxa"/>
            <w:vMerge w:val="continue"/>
          </w:tcPr>
          <w:p w14:paraId="461D6243"/>
        </w:tc>
        <w:tc>
          <w:tcPr>
            <w:tcW w:w="964" w:type="dxa"/>
            <w:vAlign w:val="center"/>
          </w:tcPr>
          <w:p w14:paraId="257C1D99">
            <w:pPr>
              <w:pStyle w:val="16"/>
            </w:pPr>
            <w:r>
              <w:t>合计</w:t>
            </w:r>
          </w:p>
        </w:tc>
        <w:tc>
          <w:tcPr>
            <w:tcW w:w="964" w:type="dxa"/>
            <w:vAlign w:val="center"/>
          </w:tcPr>
          <w:p w14:paraId="6E8BECBD">
            <w:pPr>
              <w:pStyle w:val="16"/>
            </w:pPr>
            <w:r>
              <w:t>一般公共预算拨款</w:t>
            </w:r>
          </w:p>
        </w:tc>
        <w:tc>
          <w:tcPr>
            <w:tcW w:w="964" w:type="dxa"/>
            <w:vAlign w:val="center"/>
          </w:tcPr>
          <w:p w14:paraId="041830B0">
            <w:pPr>
              <w:pStyle w:val="16"/>
            </w:pPr>
            <w:r>
              <w:t>基金预算拨款</w:t>
            </w:r>
          </w:p>
        </w:tc>
        <w:tc>
          <w:tcPr>
            <w:tcW w:w="964" w:type="dxa"/>
            <w:vAlign w:val="center"/>
          </w:tcPr>
          <w:p w14:paraId="20DE09F5">
            <w:pPr>
              <w:pStyle w:val="16"/>
            </w:pPr>
            <w:r>
              <w:t>国有资本经营预算拨款</w:t>
            </w:r>
          </w:p>
        </w:tc>
        <w:tc>
          <w:tcPr>
            <w:tcW w:w="964" w:type="dxa"/>
            <w:vAlign w:val="center"/>
          </w:tcPr>
          <w:p w14:paraId="3302CF26">
            <w:pPr>
              <w:pStyle w:val="16"/>
            </w:pPr>
            <w:r>
              <w:t>财政专户核拨</w:t>
            </w:r>
          </w:p>
        </w:tc>
        <w:tc>
          <w:tcPr>
            <w:tcW w:w="964" w:type="dxa"/>
            <w:vAlign w:val="center"/>
          </w:tcPr>
          <w:p w14:paraId="6CEB77C2">
            <w:pPr>
              <w:pStyle w:val="16"/>
            </w:pPr>
            <w:r>
              <w:t>单位    资金</w:t>
            </w:r>
          </w:p>
        </w:tc>
        <w:tc>
          <w:tcPr>
            <w:tcW w:w="964" w:type="dxa"/>
            <w:vAlign w:val="center"/>
          </w:tcPr>
          <w:p w14:paraId="4086353C">
            <w:pPr>
              <w:pStyle w:val="16"/>
            </w:pPr>
            <w:r>
              <w:t>财政拨    款结转</w:t>
            </w:r>
          </w:p>
        </w:tc>
        <w:tc>
          <w:tcPr>
            <w:tcW w:w="964" w:type="dxa"/>
            <w:vAlign w:val="center"/>
          </w:tcPr>
          <w:p w14:paraId="63503BFB">
            <w:pPr>
              <w:pStyle w:val="16"/>
            </w:pPr>
            <w:r>
              <w:t>非财政    拨款结    转结余</w:t>
            </w:r>
          </w:p>
        </w:tc>
        <w:tc>
          <w:tcPr>
            <w:tcW w:w="964" w:type="dxa"/>
            <w:vMerge w:val="continue"/>
          </w:tcPr>
          <w:p w14:paraId="53E3C307"/>
        </w:tc>
      </w:tr>
      <w:tr w14:paraId="6A01979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063EC1C7">
            <w:pPr>
              <w:pStyle w:val="20"/>
            </w:pPr>
            <w:r>
              <w:t>合  计</w:t>
            </w:r>
          </w:p>
        </w:tc>
        <w:tc>
          <w:tcPr>
            <w:tcW w:w="964" w:type="dxa"/>
            <w:vAlign w:val="center"/>
          </w:tcPr>
          <w:p w14:paraId="520BC9C7">
            <w:pPr>
              <w:pStyle w:val="21"/>
            </w:pPr>
          </w:p>
        </w:tc>
        <w:tc>
          <w:tcPr>
            <w:tcW w:w="1134" w:type="dxa"/>
            <w:vAlign w:val="center"/>
          </w:tcPr>
          <w:p w14:paraId="482ED527">
            <w:pPr>
              <w:pStyle w:val="22"/>
            </w:pPr>
          </w:p>
        </w:tc>
        <w:tc>
          <w:tcPr>
            <w:tcW w:w="1134" w:type="dxa"/>
            <w:vAlign w:val="center"/>
          </w:tcPr>
          <w:p w14:paraId="223975C1">
            <w:pPr>
              <w:pStyle w:val="22"/>
            </w:pPr>
          </w:p>
        </w:tc>
        <w:tc>
          <w:tcPr>
            <w:tcW w:w="709" w:type="dxa"/>
            <w:vAlign w:val="center"/>
          </w:tcPr>
          <w:p w14:paraId="53F08736">
            <w:pPr>
              <w:pStyle w:val="20"/>
            </w:pPr>
          </w:p>
        </w:tc>
        <w:tc>
          <w:tcPr>
            <w:tcW w:w="850" w:type="dxa"/>
            <w:vAlign w:val="center"/>
          </w:tcPr>
          <w:p w14:paraId="315B086C">
            <w:pPr>
              <w:pStyle w:val="21"/>
            </w:pPr>
          </w:p>
        </w:tc>
        <w:tc>
          <w:tcPr>
            <w:tcW w:w="850" w:type="dxa"/>
            <w:vAlign w:val="center"/>
          </w:tcPr>
          <w:p w14:paraId="06FB1E3F">
            <w:pPr>
              <w:pStyle w:val="21"/>
            </w:pPr>
          </w:p>
        </w:tc>
        <w:tc>
          <w:tcPr>
            <w:tcW w:w="964" w:type="dxa"/>
            <w:vAlign w:val="center"/>
          </w:tcPr>
          <w:p w14:paraId="12EEA11D">
            <w:pPr>
              <w:pStyle w:val="21"/>
            </w:pPr>
          </w:p>
        </w:tc>
        <w:tc>
          <w:tcPr>
            <w:tcW w:w="964" w:type="dxa"/>
            <w:vAlign w:val="center"/>
          </w:tcPr>
          <w:p w14:paraId="34DF0C62">
            <w:pPr>
              <w:pStyle w:val="21"/>
            </w:pPr>
          </w:p>
        </w:tc>
        <w:tc>
          <w:tcPr>
            <w:tcW w:w="964" w:type="dxa"/>
            <w:vAlign w:val="center"/>
          </w:tcPr>
          <w:p w14:paraId="35A9E6D0">
            <w:pPr>
              <w:pStyle w:val="21"/>
            </w:pPr>
          </w:p>
        </w:tc>
        <w:tc>
          <w:tcPr>
            <w:tcW w:w="964" w:type="dxa"/>
            <w:vAlign w:val="center"/>
          </w:tcPr>
          <w:p w14:paraId="104D1D6C">
            <w:pPr>
              <w:pStyle w:val="21"/>
            </w:pPr>
          </w:p>
        </w:tc>
        <w:tc>
          <w:tcPr>
            <w:tcW w:w="964" w:type="dxa"/>
            <w:vAlign w:val="center"/>
          </w:tcPr>
          <w:p w14:paraId="517D4984">
            <w:pPr>
              <w:pStyle w:val="21"/>
            </w:pPr>
          </w:p>
        </w:tc>
        <w:tc>
          <w:tcPr>
            <w:tcW w:w="964" w:type="dxa"/>
            <w:vAlign w:val="center"/>
          </w:tcPr>
          <w:p w14:paraId="562BE612">
            <w:pPr>
              <w:pStyle w:val="21"/>
            </w:pPr>
          </w:p>
        </w:tc>
        <w:tc>
          <w:tcPr>
            <w:tcW w:w="964" w:type="dxa"/>
            <w:vAlign w:val="center"/>
          </w:tcPr>
          <w:p w14:paraId="23A6AF67">
            <w:pPr>
              <w:pStyle w:val="21"/>
            </w:pPr>
          </w:p>
        </w:tc>
        <w:tc>
          <w:tcPr>
            <w:tcW w:w="964" w:type="dxa"/>
            <w:vAlign w:val="center"/>
          </w:tcPr>
          <w:p w14:paraId="107C2210">
            <w:pPr>
              <w:pStyle w:val="21"/>
            </w:pPr>
          </w:p>
        </w:tc>
        <w:tc>
          <w:tcPr>
            <w:tcW w:w="964" w:type="dxa"/>
            <w:vAlign w:val="center"/>
          </w:tcPr>
          <w:p w14:paraId="11EBD6E7">
            <w:pPr>
              <w:pStyle w:val="21"/>
            </w:pPr>
          </w:p>
        </w:tc>
      </w:tr>
      <w:tr w14:paraId="547325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06E635CF">
            <w:pPr>
              <w:pStyle w:val="20"/>
            </w:pPr>
          </w:p>
        </w:tc>
        <w:tc>
          <w:tcPr>
            <w:tcW w:w="964" w:type="dxa"/>
            <w:vAlign w:val="center"/>
          </w:tcPr>
          <w:p w14:paraId="1E26CC09">
            <w:pPr>
              <w:pStyle w:val="21"/>
            </w:pPr>
          </w:p>
        </w:tc>
        <w:tc>
          <w:tcPr>
            <w:tcW w:w="1134" w:type="dxa"/>
            <w:vAlign w:val="center"/>
          </w:tcPr>
          <w:p w14:paraId="0A4C9425">
            <w:pPr>
              <w:pStyle w:val="22"/>
            </w:pPr>
          </w:p>
        </w:tc>
        <w:tc>
          <w:tcPr>
            <w:tcW w:w="1134" w:type="dxa"/>
            <w:vAlign w:val="center"/>
          </w:tcPr>
          <w:p w14:paraId="79FD87EC">
            <w:pPr>
              <w:pStyle w:val="22"/>
            </w:pPr>
          </w:p>
        </w:tc>
        <w:tc>
          <w:tcPr>
            <w:tcW w:w="709" w:type="dxa"/>
            <w:vAlign w:val="center"/>
          </w:tcPr>
          <w:p w14:paraId="24523C0E">
            <w:pPr>
              <w:pStyle w:val="20"/>
            </w:pPr>
          </w:p>
        </w:tc>
        <w:tc>
          <w:tcPr>
            <w:tcW w:w="850" w:type="dxa"/>
            <w:vAlign w:val="center"/>
          </w:tcPr>
          <w:p w14:paraId="6D29D883">
            <w:pPr>
              <w:pStyle w:val="21"/>
            </w:pPr>
          </w:p>
        </w:tc>
        <w:tc>
          <w:tcPr>
            <w:tcW w:w="850" w:type="dxa"/>
            <w:vAlign w:val="center"/>
          </w:tcPr>
          <w:p w14:paraId="74455750">
            <w:pPr>
              <w:pStyle w:val="21"/>
            </w:pPr>
          </w:p>
        </w:tc>
        <w:tc>
          <w:tcPr>
            <w:tcW w:w="964" w:type="dxa"/>
            <w:vAlign w:val="center"/>
          </w:tcPr>
          <w:p w14:paraId="631F44FC">
            <w:pPr>
              <w:pStyle w:val="21"/>
            </w:pPr>
          </w:p>
        </w:tc>
        <w:tc>
          <w:tcPr>
            <w:tcW w:w="964" w:type="dxa"/>
            <w:vAlign w:val="center"/>
          </w:tcPr>
          <w:p w14:paraId="7DC1D561">
            <w:pPr>
              <w:pStyle w:val="21"/>
            </w:pPr>
          </w:p>
        </w:tc>
        <w:tc>
          <w:tcPr>
            <w:tcW w:w="964" w:type="dxa"/>
            <w:vAlign w:val="center"/>
          </w:tcPr>
          <w:p w14:paraId="6AD4AC4C">
            <w:pPr>
              <w:pStyle w:val="21"/>
            </w:pPr>
          </w:p>
        </w:tc>
        <w:tc>
          <w:tcPr>
            <w:tcW w:w="964" w:type="dxa"/>
            <w:vAlign w:val="center"/>
          </w:tcPr>
          <w:p w14:paraId="49E4FC28">
            <w:pPr>
              <w:pStyle w:val="21"/>
            </w:pPr>
          </w:p>
        </w:tc>
        <w:tc>
          <w:tcPr>
            <w:tcW w:w="964" w:type="dxa"/>
            <w:vAlign w:val="center"/>
          </w:tcPr>
          <w:p w14:paraId="15195B8E">
            <w:pPr>
              <w:pStyle w:val="21"/>
            </w:pPr>
          </w:p>
        </w:tc>
        <w:tc>
          <w:tcPr>
            <w:tcW w:w="964" w:type="dxa"/>
            <w:vAlign w:val="center"/>
          </w:tcPr>
          <w:p w14:paraId="6203070F">
            <w:pPr>
              <w:pStyle w:val="21"/>
            </w:pPr>
          </w:p>
        </w:tc>
        <w:tc>
          <w:tcPr>
            <w:tcW w:w="964" w:type="dxa"/>
            <w:vAlign w:val="center"/>
          </w:tcPr>
          <w:p w14:paraId="1A073178">
            <w:pPr>
              <w:pStyle w:val="21"/>
            </w:pPr>
          </w:p>
        </w:tc>
        <w:tc>
          <w:tcPr>
            <w:tcW w:w="964" w:type="dxa"/>
            <w:vAlign w:val="center"/>
          </w:tcPr>
          <w:p w14:paraId="3836178B">
            <w:pPr>
              <w:pStyle w:val="21"/>
            </w:pPr>
          </w:p>
        </w:tc>
        <w:tc>
          <w:tcPr>
            <w:tcW w:w="964" w:type="dxa"/>
            <w:vAlign w:val="center"/>
          </w:tcPr>
          <w:p w14:paraId="595AD826">
            <w:pPr>
              <w:pStyle w:val="21"/>
            </w:pPr>
          </w:p>
        </w:tc>
      </w:tr>
      <w:tr w14:paraId="70E4FA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097" w:type="dxa"/>
            <w:vAlign w:val="center"/>
          </w:tcPr>
          <w:p w14:paraId="4A688AF0">
            <w:pPr>
              <w:pStyle w:val="18"/>
            </w:pPr>
          </w:p>
        </w:tc>
        <w:tc>
          <w:tcPr>
            <w:tcW w:w="964" w:type="dxa"/>
            <w:vAlign w:val="center"/>
          </w:tcPr>
          <w:p w14:paraId="39E07BC7">
            <w:pPr>
              <w:pStyle w:val="17"/>
            </w:pPr>
          </w:p>
        </w:tc>
        <w:tc>
          <w:tcPr>
            <w:tcW w:w="1134" w:type="dxa"/>
            <w:vAlign w:val="center"/>
          </w:tcPr>
          <w:p w14:paraId="42460177">
            <w:pPr>
              <w:pStyle w:val="18"/>
            </w:pPr>
          </w:p>
        </w:tc>
        <w:tc>
          <w:tcPr>
            <w:tcW w:w="1134" w:type="dxa"/>
            <w:vAlign w:val="center"/>
          </w:tcPr>
          <w:p w14:paraId="0ED48FAC">
            <w:pPr>
              <w:pStyle w:val="18"/>
            </w:pPr>
          </w:p>
        </w:tc>
        <w:tc>
          <w:tcPr>
            <w:tcW w:w="709" w:type="dxa"/>
            <w:vAlign w:val="center"/>
          </w:tcPr>
          <w:p w14:paraId="1A7852A1">
            <w:pPr>
              <w:pStyle w:val="19"/>
            </w:pPr>
          </w:p>
        </w:tc>
        <w:tc>
          <w:tcPr>
            <w:tcW w:w="850" w:type="dxa"/>
            <w:vAlign w:val="center"/>
          </w:tcPr>
          <w:p w14:paraId="5C9F2223">
            <w:pPr>
              <w:pStyle w:val="17"/>
            </w:pPr>
          </w:p>
        </w:tc>
        <w:tc>
          <w:tcPr>
            <w:tcW w:w="850" w:type="dxa"/>
            <w:vAlign w:val="center"/>
          </w:tcPr>
          <w:p w14:paraId="315F11E2">
            <w:pPr>
              <w:pStyle w:val="17"/>
            </w:pPr>
          </w:p>
        </w:tc>
        <w:tc>
          <w:tcPr>
            <w:tcW w:w="964" w:type="dxa"/>
            <w:vAlign w:val="center"/>
          </w:tcPr>
          <w:p w14:paraId="5B86547B">
            <w:pPr>
              <w:pStyle w:val="17"/>
            </w:pPr>
          </w:p>
        </w:tc>
        <w:tc>
          <w:tcPr>
            <w:tcW w:w="964" w:type="dxa"/>
            <w:vAlign w:val="center"/>
          </w:tcPr>
          <w:p w14:paraId="19A62E5E">
            <w:pPr>
              <w:pStyle w:val="17"/>
            </w:pPr>
          </w:p>
        </w:tc>
        <w:tc>
          <w:tcPr>
            <w:tcW w:w="964" w:type="dxa"/>
            <w:vAlign w:val="center"/>
          </w:tcPr>
          <w:p w14:paraId="114271DC">
            <w:pPr>
              <w:pStyle w:val="17"/>
            </w:pPr>
          </w:p>
        </w:tc>
        <w:tc>
          <w:tcPr>
            <w:tcW w:w="964" w:type="dxa"/>
            <w:vAlign w:val="center"/>
          </w:tcPr>
          <w:p w14:paraId="7DD21962">
            <w:pPr>
              <w:pStyle w:val="17"/>
            </w:pPr>
          </w:p>
        </w:tc>
        <w:tc>
          <w:tcPr>
            <w:tcW w:w="964" w:type="dxa"/>
            <w:vAlign w:val="center"/>
          </w:tcPr>
          <w:p w14:paraId="296A90A8">
            <w:pPr>
              <w:pStyle w:val="17"/>
            </w:pPr>
          </w:p>
        </w:tc>
        <w:tc>
          <w:tcPr>
            <w:tcW w:w="964" w:type="dxa"/>
            <w:vAlign w:val="center"/>
          </w:tcPr>
          <w:p w14:paraId="43EDC56B">
            <w:pPr>
              <w:pStyle w:val="17"/>
            </w:pPr>
          </w:p>
        </w:tc>
        <w:tc>
          <w:tcPr>
            <w:tcW w:w="964" w:type="dxa"/>
            <w:vAlign w:val="center"/>
          </w:tcPr>
          <w:p w14:paraId="14C37177">
            <w:pPr>
              <w:pStyle w:val="17"/>
            </w:pPr>
          </w:p>
        </w:tc>
        <w:tc>
          <w:tcPr>
            <w:tcW w:w="964" w:type="dxa"/>
            <w:vAlign w:val="center"/>
          </w:tcPr>
          <w:p w14:paraId="7AECC226">
            <w:pPr>
              <w:pStyle w:val="17"/>
            </w:pPr>
          </w:p>
        </w:tc>
        <w:tc>
          <w:tcPr>
            <w:tcW w:w="964" w:type="dxa"/>
            <w:vAlign w:val="center"/>
          </w:tcPr>
          <w:p w14:paraId="632298E4">
            <w:pPr>
              <w:pStyle w:val="17"/>
            </w:pPr>
          </w:p>
        </w:tc>
      </w:tr>
    </w:tbl>
    <w:p w14:paraId="7A23D22D">
      <w:pPr>
        <w:spacing w:line="500" w:lineRule="exact"/>
        <w:ind w:firstLine="420"/>
        <w:rPr>
          <w:rFonts w:ascii="方正仿宋_GBK" w:hAnsi="方正仿宋_GBK" w:eastAsia="方正仿宋_GBK" w:cs="方正仿宋_GBK"/>
          <w:color w:val="000000"/>
        </w:rPr>
      </w:pPr>
      <w:r>
        <w:rPr>
          <w:rFonts w:ascii="方正仿宋_GBK" w:hAnsi="方正仿宋_GBK" w:eastAsia="方正仿宋_GBK" w:cs="方正仿宋_GBK"/>
          <w:color w:val="000000"/>
        </w:rPr>
        <w:t>注：同一采购目录序号的物品，其单价会因配置规格不同而变动，均符合资产配置标准。涉密采购事项按照相关规定执行。</w:t>
      </w:r>
    </w:p>
    <w:p w14:paraId="551C0A8A">
      <w:pPr>
        <w:spacing w:line="500" w:lineRule="exact"/>
        <w:ind w:firstLine="420"/>
        <w:rPr>
          <w:rFonts w:ascii="Times New Roman" w:hAnsi="Times New Roman" w:eastAsia="黑体" w:cs="Times New Roman"/>
          <w:sz w:val="32"/>
          <w:szCs w:val="32"/>
        </w:rPr>
      </w:pPr>
      <w:r>
        <w:rPr>
          <w:rFonts w:ascii="Times New Roman" w:hAnsi="黑体" w:eastAsia="黑体" w:cs="Times New Roman"/>
          <w:sz w:val="32"/>
          <w:szCs w:val="32"/>
        </w:rPr>
        <w:t>七、国有资产信息</w:t>
      </w:r>
    </w:p>
    <w:p w14:paraId="414AEFD4">
      <w:pPr>
        <w:spacing w:line="584" w:lineRule="exact"/>
        <w:ind w:firstLine="640"/>
        <w:rPr>
          <w:rFonts w:ascii="Times New Roman" w:hAnsi="Times New Roman" w:eastAsia="仿宋_GB2312" w:cs="Times New Roman"/>
          <w:sz w:val="32"/>
          <w:szCs w:val="32"/>
        </w:rPr>
      </w:pPr>
      <w:r>
        <w:rPr>
          <w:rFonts w:ascii="Times New Roman" w:hAnsi="Times New Roman" w:eastAsia="仿宋_GB2312" w:cs="Times New Roman"/>
          <w:sz w:val="32"/>
          <w:szCs w:val="32"/>
        </w:rPr>
        <w:t>永清县</w:t>
      </w:r>
      <w:r>
        <w:rPr>
          <w:rFonts w:hint="eastAsia" w:ascii="Times New Roman" w:hAnsi="Times New Roman" w:eastAsia="仿宋_GB2312" w:cs="Times New Roman"/>
          <w:sz w:val="32"/>
          <w:szCs w:val="32"/>
        </w:rPr>
        <w:t>总工会</w:t>
      </w:r>
      <w:r>
        <w:rPr>
          <w:rFonts w:ascii="Times New Roman" w:hAnsi="Times New Roman" w:eastAsia="仿宋_GB2312" w:cs="Times New Roman"/>
          <w:sz w:val="32"/>
          <w:szCs w:val="32"/>
        </w:rPr>
        <w:t>（含所属单位）上年末固定资产金额为</w:t>
      </w:r>
      <w:r>
        <w:rPr>
          <w:rFonts w:hint="eastAsia" w:ascii="Times New Roman" w:hAnsi="Times New Roman" w:eastAsia="仿宋_GB2312" w:cs="Times New Roman"/>
          <w:sz w:val="32"/>
          <w:szCs w:val="32"/>
        </w:rPr>
        <w:t>41.33</w:t>
      </w:r>
      <w:r>
        <w:rPr>
          <w:rFonts w:ascii="Times New Roman" w:hAnsi="Times New Roman" w:eastAsia="仿宋_GB2312" w:cs="Times New Roman"/>
          <w:sz w:val="32"/>
          <w:szCs w:val="32"/>
        </w:rPr>
        <w:t>万元</w:t>
      </w:r>
      <w:r>
        <w:rPr>
          <w:rFonts w:hint="eastAsia" w:ascii="Times New Roman" w:hAnsi="Times New Roman" w:eastAsia="仿宋_GB2312" w:cs="Times New Roman"/>
          <w:sz w:val="32"/>
          <w:szCs w:val="32"/>
        </w:rPr>
        <w:t>（详见下表）</w:t>
      </w:r>
      <w:r>
        <w:rPr>
          <w:rFonts w:ascii="Times New Roman" w:hAnsi="Times New Roman" w:eastAsia="仿宋_GB2312" w:cs="Times New Roman"/>
          <w:sz w:val="32"/>
          <w:szCs w:val="32"/>
        </w:rPr>
        <w:t>，本年度我部门</w:t>
      </w:r>
      <w:r>
        <w:rPr>
          <w:rFonts w:hint="eastAsia" w:ascii="Times New Roman" w:hAnsi="Times New Roman" w:eastAsia="仿宋_GB2312" w:cs="Times New Roman"/>
          <w:sz w:val="32"/>
          <w:szCs w:val="32"/>
          <w:lang w:eastAsia="zh-CN"/>
        </w:rPr>
        <w:t>拟购置固定资产总额为</w:t>
      </w:r>
      <w:r>
        <w:rPr>
          <w:rFonts w:hint="eastAsia" w:ascii="Times New Roman" w:hAnsi="Times New Roman" w:eastAsia="仿宋_GB2312" w:cs="Times New Roman"/>
          <w:sz w:val="32"/>
          <w:szCs w:val="32"/>
          <w:lang w:val="en-US" w:eastAsia="zh-CN"/>
        </w:rPr>
        <w:t>0万元</w:t>
      </w:r>
      <w:r>
        <w:rPr>
          <w:rFonts w:hint="eastAsia" w:ascii="Times New Roman" w:hAnsi="Times New Roman" w:eastAsia="仿宋_GB2312" w:cs="Times New Roman"/>
          <w:sz w:val="32"/>
          <w:szCs w:val="32"/>
        </w:rPr>
        <w:t>，</w:t>
      </w:r>
      <w:r>
        <w:rPr>
          <w:rFonts w:ascii="Times New Roman" w:hAnsi="Times New Roman" w:eastAsia="仿宋_GB2312" w:cs="Times New Roman"/>
          <w:sz w:val="32"/>
          <w:szCs w:val="32"/>
        </w:rPr>
        <w:t>详见</w:t>
      </w:r>
      <w:r>
        <w:rPr>
          <w:rFonts w:hint="eastAsia" w:ascii="Times New Roman" w:hAnsi="Times New Roman" w:eastAsia="仿宋_GB2312" w:cs="Times New Roman"/>
          <w:sz w:val="32"/>
          <w:szCs w:val="32"/>
        </w:rPr>
        <w:t>政府采购</w:t>
      </w:r>
      <w:r>
        <w:rPr>
          <w:rFonts w:ascii="Times New Roman" w:hAnsi="Times New Roman" w:eastAsia="仿宋_GB2312" w:cs="Times New Roman"/>
          <w:sz w:val="32"/>
          <w:szCs w:val="32"/>
        </w:rPr>
        <w:t>预算表。</w:t>
      </w:r>
    </w:p>
    <w:p w14:paraId="7009E78F">
      <w:pPr>
        <w:spacing w:line="584" w:lineRule="exact"/>
        <w:ind w:firstLine="640"/>
        <w:rPr>
          <w:rFonts w:ascii="Times New Roman" w:hAnsi="Times New Roman" w:eastAsia="仿宋_GB2312" w:cs="Times New Roman"/>
          <w:sz w:val="32"/>
          <w:szCs w:val="32"/>
        </w:rPr>
      </w:pPr>
    </w:p>
    <w:tbl>
      <w:tblPr>
        <w:tblStyle w:val="8"/>
        <w:tblW w:w="13325" w:type="dxa"/>
        <w:tblInd w:w="93" w:type="dxa"/>
        <w:tblLayout w:type="autofit"/>
        <w:tblCellMar>
          <w:top w:w="0" w:type="dxa"/>
          <w:left w:w="108" w:type="dxa"/>
          <w:bottom w:w="0" w:type="dxa"/>
          <w:right w:w="108" w:type="dxa"/>
        </w:tblCellMar>
      </w:tblPr>
      <w:tblGrid>
        <w:gridCol w:w="5224"/>
        <w:gridCol w:w="3155"/>
        <w:gridCol w:w="5103"/>
      </w:tblGrid>
      <w:tr w14:paraId="3F26B226">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14:paraId="52194311">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w:t>
            </w:r>
            <w:r>
              <w:rPr>
                <w:rFonts w:hint="eastAsia" w:ascii="Times New Roman" w:hAnsi="Times New Roman" w:eastAsia="仿宋_GB2312" w:cs="Times New Roman"/>
                <w:b/>
                <w:bCs/>
                <w:kern w:val="0"/>
                <w:sz w:val="32"/>
                <w:szCs w:val="32"/>
                <w:lang w:eastAsia="zh-CN"/>
              </w:rPr>
              <w:t>总工会</w:t>
            </w:r>
            <w:r>
              <w:rPr>
                <w:rFonts w:ascii="Times New Roman" w:hAnsi="Times New Roman" w:eastAsia="仿宋_GB2312" w:cs="Times New Roman"/>
                <w:b/>
                <w:bCs/>
                <w:kern w:val="0"/>
                <w:sz w:val="32"/>
                <w:szCs w:val="32"/>
              </w:rPr>
              <w:t>固定资产占用情况表</w:t>
            </w:r>
          </w:p>
        </w:tc>
      </w:tr>
      <w:tr w14:paraId="32754A27">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14:paraId="35EF6F28">
            <w:pPr>
              <w:widowControl/>
              <w:spacing w:line="584" w:lineRule="exact"/>
              <w:jc w:val="left"/>
              <w:rPr>
                <w:rFonts w:hint="eastAsia" w:ascii="Times New Roman" w:hAnsi="Times New Roman" w:eastAsia="仿宋_GB2312" w:cs="Times New Roman"/>
                <w:kern w:val="0"/>
                <w:sz w:val="22"/>
                <w:lang w:eastAsia="zh-CN"/>
              </w:rPr>
            </w:pPr>
            <w:r>
              <w:rPr>
                <w:rFonts w:ascii="Times New Roman" w:hAnsi="Times New Roman" w:eastAsia="仿宋_GB2312" w:cs="Times New Roman"/>
                <w:kern w:val="0"/>
                <w:sz w:val="22"/>
              </w:rPr>
              <w:t>编制部门：永清县</w:t>
            </w:r>
            <w:r>
              <w:rPr>
                <w:rFonts w:hint="eastAsia" w:ascii="Times New Roman" w:hAnsi="Times New Roman" w:eastAsia="仿宋_GB2312" w:cs="Times New Roman"/>
                <w:kern w:val="0"/>
                <w:sz w:val="22"/>
                <w:lang w:eastAsia="zh-CN"/>
              </w:rPr>
              <w:t>总工会</w:t>
            </w:r>
          </w:p>
        </w:tc>
        <w:tc>
          <w:tcPr>
            <w:tcW w:w="5103" w:type="dxa"/>
            <w:tcBorders>
              <w:top w:val="nil"/>
              <w:left w:val="nil"/>
              <w:bottom w:val="nil"/>
              <w:right w:val="nil"/>
            </w:tcBorders>
            <w:shd w:val="clear" w:color="auto" w:fill="auto"/>
            <w:noWrap/>
            <w:vAlign w:val="center"/>
          </w:tcPr>
          <w:p w14:paraId="592D67CA">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w:t>
            </w:r>
            <w:r>
              <w:rPr>
                <w:rFonts w:ascii="Times New Roman" w:hAnsi="Times New Roman" w:eastAsia="仿宋_GB2312" w:cs="Times New Roman"/>
                <w:kern w:val="0"/>
                <w:sz w:val="22"/>
              </w:rPr>
              <w:t>2年12月31日</w:t>
            </w:r>
          </w:p>
        </w:tc>
      </w:tr>
      <w:tr w14:paraId="652F8D13">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BF519C5">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14:paraId="6B85FCE9">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14:paraId="0B8A2A74">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14:paraId="4227E859">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0D85BEE6">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14:paraId="0B14C9F7">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14:paraId="6BD08C1D">
            <w:pPr>
              <w:spacing w:line="584" w:lineRule="exact"/>
              <w:jc w:val="center"/>
              <w:rPr>
                <w:rFonts w:hint="default" w:ascii="Times New Roman" w:hAnsi="Times New Roman" w:eastAsia="仿宋_GB2312" w:cs="Times New Roman"/>
                <w:sz w:val="22"/>
                <w:lang w:val="en-US" w:eastAsia="zh-CN"/>
              </w:rPr>
            </w:pPr>
            <w:r>
              <w:rPr>
                <w:rFonts w:hint="eastAsia" w:ascii="Times New Roman" w:hAnsi="Times New Roman" w:eastAsia="仿宋_GB2312" w:cs="Times New Roman"/>
                <w:sz w:val="22"/>
                <w:lang w:val="en-US" w:eastAsia="zh-CN"/>
              </w:rPr>
              <w:t>41.33</w:t>
            </w:r>
          </w:p>
        </w:tc>
      </w:tr>
      <w:tr w14:paraId="00D37DDB">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28E7663F">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14:paraId="7EAC09B9">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900</w:t>
            </w:r>
          </w:p>
        </w:tc>
        <w:tc>
          <w:tcPr>
            <w:tcW w:w="5103" w:type="dxa"/>
            <w:tcBorders>
              <w:top w:val="nil"/>
              <w:left w:val="nil"/>
              <w:bottom w:val="single" w:color="auto" w:sz="4" w:space="0"/>
              <w:right w:val="single" w:color="auto" w:sz="4" w:space="0"/>
            </w:tcBorders>
            <w:shd w:val="clear" w:color="auto" w:fill="auto"/>
            <w:noWrap/>
            <w:vAlign w:val="center"/>
          </w:tcPr>
          <w:p w14:paraId="3BA43ABE">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11</w:t>
            </w:r>
          </w:p>
        </w:tc>
      </w:tr>
      <w:tr w14:paraId="7C9650FC">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25CA043A">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14:paraId="31E43EC9">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900</w:t>
            </w:r>
          </w:p>
        </w:tc>
        <w:tc>
          <w:tcPr>
            <w:tcW w:w="5103" w:type="dxa"/>
            <w:tcBorders>
              <w:top w:val="nil"/>
              <w:left w:val="nil"/>
              <w:bottom w:val="single" w:color="auto" w:sz="4" w:space="0"/>
              <w:right w:val="single" w:color="auto" w:sz="4" w:space="0"/>
            </w:tcBorders>
            <w:shd w:val="clear" w:color="auto" w:fill="auto"/>
            <w:noWrap/>
            <w:vAlign w:val="center"/>
          </w:tcPr>
          <w:p w14:paraId="5158C97C">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11</w:t>
            </w:r>
          </w:p>
        </w:tc>
      </w:tr>
      <w:tr w14:paraId="0E03D904">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03F227DA">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14:paraId="3980847C">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2</w:t>
            </w:r>
          </w:p>
        </w:tc>
        <w:tc>
          <w:tcPr>
            <w:tcW w:w="5103" w:type="dxa"/>
            <w:tcBorders>
              <w:top w:val="nil"/>
              <w:left w:val="nil"/>
              <w:bottom w:val="single" w:color="auto" w:sz="4" w:space="0"/>
              <w:right w:val="single" w:color="auto" w:sz="4" w:space="0"/>
            </w:tcBorders>
            <w:shd w:val="clear" w:color="auto" w:fill="auto"/>
            <w:noWrap/>
            <w:vAlign w:val="center"/>
          </w:tcPr>
          <w:p w14:paraId="02F5FED7">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22.61</w:t>
            </w:r>
          </w:p>
        </w:tc>
      </w:tr>
      <w:tr w14:paraId="3D5704C8">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14:paraId="46000D72">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14:paraId="2F141CBA">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14:paraId="0BB72441">
            <w:pPr>
              <w:spacing w:line="584" w:lineRule="exact"/>
              <w:jc w:val="center"/>
              <w:rPr>
                <w:rFonts w:ascii="Times New Roman" w:hAnsi="Times New Roman" w:eastAsia="仿宋_GB2312" w:cs="Times New Roman"/>
                <w:sz w:val="22"/>
              </w:rPr>
            </w:pPr>
          </w:p>
        </w:tc>
      </w:tr>
      <w:tr w14:paraId="519A1EB8">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14:paraId="69EF1AEA">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14:paraId="68A0FAC3">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14:paraId="5E0035D7">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7.72</w:t>
            </w:r>
          </w:p>
        </w:tc>
      </w:tr>
    </w:tbl>
    <w:p w14:paraId="1F6B38E0">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八、名词解释</w:t>
      </w:r>
    </w:p>
    <w:p w14:paraId="43431531">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财政当年拨付的资金。</w:t>
      </w:r>
    </w:p>
    <w:p w14:paraId="43EA38A4">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14:paraId="5BABBDBB">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14:paraId="2EBE674E">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14:paraId="1D21D463">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14:paraId="6A118380">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14:paraId="3A92899E">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财政预算管理的“三公”经费，是指</w:t>
      </w:r>
      <w:r>
        <w:rPr>
          <w:rFonts w:hint="eastAsia" w:ascii="Times New Roman" w:hAnsi="Times New Roman" w:eastAsia="仿宋_GB2312" w:cs="Times New Roman"/>
          <w:sz w:val="32"/>
          <w:szCs w:val="32"/>
        </w:rPr>
        <w:t>县级</w:t>
      </w:r>
      <w:r>
        <w:rPr>
          <w:rFonts w:ascii="Times New Roman" w:hAnsi="Times New Roman" w:eastAsia="仿宋_GB2312" w:cs="Times New Roman"/>
          <w:sz w:val="32"/>
          <w:szCs w:val="32"/>
        </w:rPr>
        <w:t>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14:paraId="03892B0D">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5DAFBE6C">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14:paraId="4A431ACF">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14:paraId="1634C6B9">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九、其他需要说明的事项</w:t>
      </w:r>
    </w:p>
    <w:p w14:paraId="089ED042">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14:paraId="3C15A362">
      <w:pPr>
        <w:spacing w:line="584" w:lineRule="exact"/>
        <w:ind w:firstLine="640" w:firstLineChars="200"/>
        <w:rPr>
          <w:rFonts w:ascii="Times New Roman" w:hAnsi="Times New Roman" w:eastAsia="仿宋_GB2312" w:cs="Times New Roman"/>
          <w:sz w:val="32"/>
          <w:szCs w:val="32"/>
        </w:rPr>
      </w:pPr>
    </w:p>
    <w:p w14:paraId="77DDB274">
      <w:pPr>
        <w:spacing w:line="584" w:lineRule="exact"/>
        <w:ind w:firstLine="643" w:firstLineChars="200"/>
        <w:rPr>
          <w:rFonts w:ascii="Times New Roman" w:hAnsi="Times New Roman" w:eastAsia="仿宋_GB2312" w:cs="Times New Roman"/>
          <w:b/>
          <w:color w:val="FF0000"/>
          <w:sz w:val="32"/>
          <w:szCs w:val="32"/>
        </w:rPr>
      </w:pPr>
    </w:p>
    <w:sectPr>
      <w:footerReference r:id="rId3" w:type="default"/>
      <w:pgSz w:w="16838" w:h="11906" w:orient="landscape"/>
      <w:pgMar w:top="1800" w:right="1440" w:bottom="1800"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_GBK">
    <w:altName w:val="微软雅黑"/>
    <w:panose1 w:val="00000000000000000000"/>
    <w:charset w:val="86"/>
    <w:family w:val="roman"/>
    <w:pitch w:val="default"/>
    <w:sig w:usb0="00000000" w:usb1="00000000" w:usb2="00000000" w:usb3="00000000" w:csb0="00000000"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UnicodeMS">
    <w:altName w:val="Malgun Gothic"/>
    <w:panose1 w:val="00000000000000000000"/>
    <w:charset w:val="81"/>
    <w:family w:val="auto"/>
    <w:pitch w:val="default"/>
    <w:sig w:usb0="00000000" w:usb1="00000000" w:usb2="00000010" w:usb3="00000000" w:csb0="00080001"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script"/>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4349198"/>
      <w:docPartObj>
        <w:docPartGallery w:val="autotext"/>
      </w:docPartObj>
    </w:sdtPr>
    <w:sdtContent>
      <w:p w14:paraId="40CFFC5A">
        <w:pPr>
          <w:pStyle w:val="3"/>
          <w:jc w:val="center"/>
        </w:pPr>
        <w:r>
          <w:rPr>
            <w:rFonts w:hint="eastAsia"/>
          </w:rPr>
          <w:t>-</w:t>
        </w:r>
        <w:r>
          <w:fldChar w:fldCharType="begin"/>
        </w:r>
        <w:r>
          <w:instrText xml:space="preserve">PAGE   \* MERGEFORMAT</w:instrText>
        </w:r>
        <w:r>
          <w:fldChar w:fldCharType="separate"/>
        </w:r>
        <w:r>
          <w:rPr>
            <w:lang w:val="zh-CN"/>
          </w:rPr>
          <w:t>2</w:t>
        </w:r>
        <w:r>
          <w:rPr>
            <w:lang w:val="zh-CN"/>
          </w:rPr>
          <w:fldChar w:fldCharType="end"/>
        </w:r>
        <w:r>
          <w:rPr>
            <w:rFonts w:hint="eastAsia"/>
          </w:rPr>
          <w:t>-</w:t>
        </w:r>
      </w:p>
    </w:sdtContent>
  </w:sdt>
  <w:p w14:paraId="3B8F12E6">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dhMWRkZjFlMjMzOGFjOWMwZDllNWNkNTY0ZDIyYmIifQ=="/>
  </w:docVars>
  <w:rsids>
    <w:rsidRoot w:val="00F66032"/>
    <w:rsid w:val="000053CC"/>
    <w:rsid w:val="00005DD8"/>
    <w:rsid w:val="00007292"/>
    <w:rsid w:val="00007A31"/>
    <w:rsid w:val="0002784C"/>
    <w:rsid w:val="0003697D"/>
    <w:rsid w:val="00037AF6"/>
    <w:rsid w:val="0004565F"/>
    <w:rsid w:val="00072187"/>
    <w:rsid w:val="00075D5F"/>
    <w:rsid w:val="0008180F"/>
    <w:rsid w:val="00082B29"/>
    <w:rsid w:val="00093DA3"/>
    <w:rsid w:val="000B529B"/>
    <w:rsid w:val="000C1A24"/>
    <w:rsid w:val="000C2338"/>
    <w:rsid w:val="000C24E6"/>
    <w:rsid w:val="000C3A19"/>
    <w:rsid w:val="000D0983"/>
    <w:rsid w:val="000D49F2"/>
    <w:rsid w:val="000E4305"/>
    <w:rsid w:val="000F0D09"/>
    <w:rsid w:val="00123A3A"/>
    <w:rsid w:val="001245BB"/>
    <w:rsid w:val="001251A3"/>
    <w:rsid w:val="00137B51"/>
    <w:rsid w:val="00143193"/>
    <w:rsid w:val="001601F9"/>
    <w:rsid w:val="00160266"/>
    <w:rsid w:val="001643E8"/>
    <w:rsid w:val="00164641"/>
    <w:rsid w:val="00164B40"/>
    <w:rsid w:val="00176C13"/>
    <w:rsid w:val="00183D1E"/>
    <w:rsid w:val="00184961"/>
    <w:rsid w:val="001919C4"/>
    <w:rsid w:val="0019412A"/>
    <w:rsid w:val="0019723B"/>
    <w:rsid w:val="001A0943"/>
    <w:rsid w:val="001A3D44"/>
    <w:rsid w:val="001B5C1D"/>
    <w:rsid w:val="001B614C"/>
    <w:rsid w:val="001C2B2C"/>
    <w:rsid w:val="001C3B5E"/>
    <w:rsid w:val="001D42E8"/>
    <w:rsid w:val="001E0757"/>
    <w:rsid w:val="001E5749"/>
    <w:rsid w:val="001E6DDC"/>
    <w:rsid w:val="001E70E9"/>
    <w:rsid w:val="001F5C92"/>
    <w:rsid w:val="001F7873"/>
    <w:rsid w:val="00204F37"/>
    <w:rsid w:val="00230E48"/>
    <w:rsid w:val="00241FD4"/>
    <w:rsid w:val="00246317"/>
    <w:rsid w:val="00251B12"/>
    <w:rsid w:val="00265318"/>
    <w:rsid w:val="00277452"/>
    <w:rsid w:val="002835D7"/>
    <w:rsid w:val="00290B45"/>
    <w:rsid w:val="00290FD6"/>
    <w:rsid w:val="0029588E"/>
    <w:rsid w:val="00296113"/>
    <w:rsid w:val="002A673A"/>
    <w:rsid w:val="002C29A3"/>
    <w:rsid w:val="002C5E13"/>
    <w:rsid w:val="002C623A"/>
    <w:rsid w:val="002C62BC"/>
    <w:rsid w:val="002D3C5F"/>
    <w:rsid w:val="002E0EB8"/>
    <w:rsid w:val="002E4C60"/>
    <w:rsid w:val="002F3A53"/>
    <w:rsid w:val="002F3E58"/>
    <w:rsid w:val="0030542C"/>
    <w:rsid w:val="003075D4"/>
    <w:rsid w:val="00311B7A"/>
    <w:rsid w:val="003126B6"/>
    <w:rsid w:val="00313D9C"/>
    <w:rsid w:val="00314231"/>
    <w:rsid w:val="00325215"/>
    <w:rsid w:val="0033339C"/>
    <w:rsid w:val="0036386B"/>
    <w:rsid w:val="00371FDA"/>
    <w:rsid w:val="0039520A"/>
    <w:rsid w:val="003B6D37"/>
    <w:rsid w:val="003D2708"/>
    <w:rsid w:val="003D2C2F"/>
    <w:rsid w:val="003D2E03"/>
    <w:rsid w:val="00415C0E"/>
    <w:rsid w:val="00424943"/>
    <w:rsid w:val="00426A46"/>
    <w:rsid w:val="0042727E"/>
    <w:rsid w:val="0043175C"/>
    <w:rsid w:val="00437296"/>
    <w:rsid w:val="00451590"/>
    <w:rsid w:val="00451871"/>
    <w:rsid w:val="004706DE"/>
    <w:rsid w:val="00472923"/>
    <w:rsid w:val="00486DCD"/>
    <w:rsid w:val="0049120C"/>
    <w:rsid w:val="004B0C3A"/>
    <w:rsid w:val="004B12F3"/>
    <w:rsid w:val="004B45C1"/>
    <w:rsid w:val="004C49A8"/>
    <w:rsid w:val="004D0AD1"/>
    <w:rsid w:val="004D5788"/>
    <w:rsid w:val="004E15AE"/>
    <w:rsid w:val="004E3066"/>
    <w:rsid w:val="004E419C"/>
    <w:rsid w:val="004E581C"/>
    <w:rsid w:val="004E74CD"/>
    <w:rsid w:val="00517C46"/>
    <w:rsid w:val="00524EFD"/>
    <w:rsid w:val="00527CD9"/>
    <w:rsid w:val="00572067"/>
    <w:rsid w:val="00573562"/>
    <w:rsid w:val="00573966"/>
    <w:rsid w:val="0057546C"/>
    <w:rsid w:val="00590ECE"/>
    <w:rsid w:val="00591534"/>
    <w:rsid w:val="005A32B6"/>
    <w:rsid w:val="005B041A"/>
    <w:rsid w:val="005C0E90"/>
    <w:rsid w:val="005D37CA"/>
    <w:rsid w:val="005D5683"/>
    <w:rsid w:val="005F5714"/>
    <w:rsid w:val="005F7AE1"/>
    <w:rsid w:val="00611D03"/>
    <w:rsid w:val="00614A29"/>
    <w:rsid w:val="00616FCE"/>
    <w:rsid w:val="006465EA"/>
    <w:rsid w:val="00651BA2"/>
    <w:rsid w:val="00672D6C"/>
    <w:rsid w:val="00673D76"/>
    <w:rsid w:val="006750E7"/>
    <w:rsid w:val="00677AC3"/>
    <w:rsid w:val="006854F0"/>
    <w:rsid w:val="006B1C4A"/>
    <w:rsid w:val="006B610D"/>
    <w:rsid w:val="006C3E06"/>
    <w:rsid w:val="006C7381"/>
    <w:rsid w:val="006D0030"/>
    <w:rsid w:val="006D010F"/>
    <w:rsid w:val="006E49F5"/>
    <w:rsid w:val="006F66C9"/>
    <w:rsid w:val="006F74B7"/>
    <w:rsid w:val="007013C8"/>
    <w:rsid w:val="00716BFB"/>
    <w:rsid w:val="00727C84"/>
    <w:rsid w:val="00740BB2"/>
    <w:rsid w:val="0074338E"/>
    <w:rsid w:val="00753836"/>
    <w:rsid w:val="0075393C"/>
    <w:rsid w:val="00754592"/>
    <w:rsid w:val="00776C08"/>
    <w:rsid w:val="00785B0E"/>
    <w:rsid w:val="007A2763"/>
    <w:rsid w:val="007A40EB"/>
    <w:rsid w:val="007B0400"/>
    <w:rsid w:val="007B49AA"/>
    <w:rsid w:val="007B5167"/>
    <w:rsid w:val="007C219A"/>
    <w:rsid w:val="007C5EA6"/>
    <w:rsid w:val="007E1DA8"/>
    <w:rsid w:val="007E2167"/>
    <w:rsid w:val="007E5E50"/>
    <w:rsid w:val="007E5EC5"/>
    <w:rsid w:val="007F1335"/>
    <w:rsid w:val="007F2A37"/>
    <w:rsid w:val="007F3BE7"/>
    <w:rsid w:val="007F6C26"/>
    <w:rsid w:val="00800F72"/>
    <w:rsid w:val="00806294"/>
    <w:rsid w:val="00811795"/>
    <w:rsid w:val="00813208"/>
    <w:rsid w:val="00815157"/>
    <w:rsid w:val="00815F8F"/>
    <w:rsid w:val="008219E1"/>
    <w:rsid w:val="0083348E"/>
    <w:rsid w:val="008334AE"/>
    <w:rsid w:val="00835573"/>
    <w:rsid w:val="00836FED"/>
    <w:rsid w:val="0083724E"/>
    <w:rsid w:val="00841D53"/>
    <w:rsid w:val="00845CD2"/>
    <w:rsid w:val="00852B0D"/>
    <w:rsid w:val="0085425A"/>
    <w:rsid w:val="0085679A"/>
    <w:rsid w:val="0085726E"/>
    <w:rsid w:val="008575E3"/>
    <w:rsid w:val="008616F6"/>
    <w:rsid w:val="00864B7F"/>
    <w:rsid w:val="00876FFF"/>
    <w:rsid w:val="00881692"/>
    <w:rsid w:val="008858FF"/>
    <w:rsid w:val="0089075B"/>
    <w:rsid w:val="008A62DA"/>
    <w:rsid w:val="008A6576"/>
    <w:rsid w:val="008A6D3B"/>
    <w:rsid w:val="008B08D9"/>
    <w:rsid w:val="008B3CC5"/>
    <w:rsid w:val="008B52CD"/>
    <w:rsid w:val="008C4AAE"/>
    <w:rsid w:val="008C7C4D"/>
    <w:rsid w:val="008E0AD8"/>
    <w:rsid w:val="008E4261"/>
    <w:rsid w:val="008E70D4"/>
    <w:rsid w:val="008F4662"/>
    <w:rsid w:val="0090563F"/>
    <w:rsid w:val="00905D08"/>
    <w:rsid w:val="009161E4"/>
    <w:rsid w:val="009166B4"/>
    <w:rsid w:val="00923F0E"/>
    <w:rsid w:val="00925753"/>
    <w:rsid w:val="00936DDD"/>
    <w:rsid w:val="00937F8B"/>
    <w:rsid w:val="009425F4"/>
    <w:rsid w:val="00943BD8"/>
    <w:rsid w:val="00950961"/>
    <w:rsid w:val="009545BB"/>
    <w:rsid w:val="00954B2C"/>
    <w:rsid w:val="0096626E"/>
    <w:rsid w:val="00966C5C"/>
    <w:rsid w:val="00973104"/>
    <w:rsid w:val="009750F8"/>
    <w:rsid w:val="009842F6"/>
    <w:rsid w:val="00995BF0"/>
    <w:rsid w:val="009A16D5"/>
    <w:rsid w:val="009A353D"/>
    <w:rsid w:val="009B0B77"/>
    <w:rsid w:val="009B511E"/>
    <w:rsid w:val="009B5215"/>
    <w:rsid w:val="009C6C86"/>
    <w:rsid w:val="009D37D3"/>
    <w:rsid w:val="00A16E6C"/>
    <w:rsid w:val="00A40F60"/>
    <w:rsid w:val="00A44E3D"/>
    <w:rsid w:val="00A45598"/>
    <w:rsid w:val="00A72D2E"/>
    <w:rsid w:val="00A74447"/>
    <w:rsid w:val="00A74CE5"/>
    <w:rsid w:val="00A77500"/>
    <w:rsid w:val="00A8536F"/>
    <w:rsid w:val="00A911E7"/>
    <w:rsid w:val="00A92170"/>
    <w:rsid w:val="00A939D9"/>
    <w:rsid w:val="00AB77AA"/>
    <w:rsid w:val="00AC1794"/>
    <w:rsid w:val="00AC4748"/>
    <w:rsid w:val="00AD5259"/>
    <w:rsid w:val="00AE1A02"/>
    <w:rsid w:val="00B01D36"/>
    <w:rsid w:val="00B02FF0"/>
    <w:rsid w:val="00B078CD"/>
    <w:rsid w:val="00B20712"/>
    <w:rsid w:val="00B43238"/>
    <w:rsid w:val="00B45DD3"/>
    <w:rsid w:val="00B46538"/>
    <w:rsid w:val="00B54B90"/>
    <w:rsid w:val="00B64FA8"/>
    <w:rsid w:val="00B73582"/>
    <w:rsid w:val="00B75216"/>
    <w:rsid w:val="00B755A2"/>
    <w:rsid w:val="00B75C1E"/>
    <w:rsid w:val="00B9104C"/>
    <w:rsid w:val="00B91D52"/>
    <w:rsid w:val="00B9490F"/>
    <w:rsid w:val="00BA0016"/>
    <w:rsid w:val="00BA1ACD"/>
    <w:rsid w:val="00BD09F8"/>
    <w:rsid w:val="00BD7278"/>
    <w:rsid w:val="00BE2395"/>
    <w:rsid w:val="00BF2D2F"/>
    <w:rsid w:val="00C005B2"/>
    <w:rsid w:val="00C1565C"/>
    <w:rsid w:val="00C21E0F"/>
    <w:rsid w:val="00C362CA"/>
    <w:rsid w:val="00C40286"/>
    <w:rsid w:val="00C56BB2"/>
    <w:rsid w:val="00C649A9"/>
    <w:rsid w:val="00C772C1"/>
    <w:rsid w:val="00C77976"/>
    <w:rsid w:val="00CA7176"/>
    <w:rsid w:val="00CC75B0"/>
    <w:rsid w:val="00CD2773"/>
    <w:rsid w:val="00CD3C04"/>
    <w:rsid w:val="00CD4188"/>
    <w:rsid w:val="00CD52C7"/>
    <w:rsid w:val="00CE01BA"/>
    <w:rsid w:val="00CE143B"/>
    <w:rsid w:val="00CE3A91"/>
    <w:rsid w:val="00D00653"/>
    <w:rsid w:val="00D07DBA"/>
    <w:rsid w:val="00D23C16"/>
    <w:rsid w:val="00D27003"/>
    <w:rsid w:val="00D270FD"/>
    <w:rsid w:val="00D324AD"/>
    <w:rsid w:val="00D56115"/>
    <w:rsid w:val="00D86ED8"/>
    <w:rsid w:val="00D926D0"/>
    <w:rsid w:val="00D9307A"/>
    <w:rsid w:val="00D95B8B"/>
    <w:rsid w:val="00DB08DA"/>
    <w:rsid w:val="00DB4322"/>
    <w:rsid w:val="00DD1D0C"/>
    <w:rsid w:val="00DD62E6"/>
    <w:rsid w:val="00DE186D"/>
    <w:rsid w:val="00DE4AC2"/>
    <w:rsid w:val="00E0381D"/>
    <w:rsid w:val="00E167C7"/>
    <w:rsid w:val="00E55B78"/>
    <w:rsid w:val="00E66527"/>
    <w:rsid w:val="00E74313"/>
    <w:rsid w:val="00E76361"/>
    <w:rsid w:val="00E84020"/>
    <w:rsid w:val="00EB53A2"/>
    <w:rsid w:val="00EB7A80"/>
    <w:rsid w:val="00EC17CA"/>
    <w:rsid w:val="00EC47F6"/>
    <w:rsid w:val="00EC797B"/>
    <w:rsid w:val="00ED0C47"/>
    <w:rsid w:val="00EE6D6D"/>
    <w:rsid w:val="00EF08C9"/>
    <w:rsid w:val="00EF535E"/>
    <w:rsid w:val="00F10A48"/>
    <w:rsid w:val="00F15CD2"/>
    <w:rsid w:val="00F22ECF"/>
    <w:rsid w:val="00F36922"/>
    <w:rsid w:val="00F471F7"/>
    <w:rsid w:val="00F47C8F"/>
    <w:rsid w:val="00F52717"/>
    <w:rsid w:val="00F66032"/>
    <w:rsid w:val="00F83B96"/>
    <w:rsid w:val="00F8441D"/>
    <w:rsid w:val="00F87C1E"/>
    <w:rsid w:val="00F9078A"/>
    <w:rsid w:val="00F958C2"/>
    <w:rsid w:val="00FA6FE9"/>
    <w:rsid w:val="00FA740E"/>
    <w:rsid w:val="00FC06C7"/>
    <w:rsid w:val="00FD5DB4"/>
    <w:rsid w:val="00FE1724"/>
    <w:rsid w:val="00FE375B"/>
    <w:rsid w:val="00FE753C"/>
    <w:rsid w:val="00FF2162"/>
    <w:rsid w:val="00FF2346"/>
    <w:rsid w:val="093C6811"/>
    <w:rsid w:val="103048E4"/>
    <w:rsid w:val="1BDD21C2"/>
    <w:rsid w:val="20541126"/>
    <w:rsid w:val="23DD7292"/>
    <w:rsid w:val="29966C10"/>
    <w:rsid w:val="29B15F2E"/>
    <w:rsid w:val="2DD21E26"/>
    <w:rsid w:val="41D8350E"/>
    <w:rsid w:val="45100549"/>
    <w:rsid w:val="6CB37DCA"/>
    <w:rsid w:val="7E7B36F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2"/>
    <w:qFormat/>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
    <w:name w:val="toc 1"/>
    <w:basedOn w:val="1"/>
    <w:next w:val="1"/>
    <w:qFormat/>
    <w:uiPriority w:val="39"/>
    <w:rPr>
      <w:rFonts w:ascii="Times New Roman" w:hAnsi="Times New Roman" w:eastAsia="宋体" w:cs="Times New Roman"/>
      <w:szCs w:val="24"/>
    </w:rPr>
  </w:style>
  <w:style w:type="paragraph" w:styleId="6">
    <w:name w:val="footnote text"/>
    <w:basedOn w:val="1"/>
    <w:link w:val="15"/>
    <w:semiHidden/>
    <w:unhideWhenUsed/>
    <w:qFormat/>
    <w:uiPriority w:val="99"/>
    <w:pPr>
      <w:snapToGrid w:val="0"/>
      <w:jc w:val="left"/>
    </w:pPr>
    <w:rPr>
      <w:rFonts w:ascii="Calibri" w:hAnsi="Calibri" w:eastAsia="宋体" w:cs="Times New Roman"/>
      <w:sz w:val="18"/>
      <w:szCs w:val="18"/>
    </w:rPr>
  </w:style>
  <w:style w:type="paragraph" w:styleId="7">
    <w:name w:val="toc 2"/>
    <w:basedOn w:val="1"/>
    <w:next w:val="1"/>
    <w:qFormat/>
    <w:uiPriority w:val="39"/>
    <w:pPr>
      <w:ind w:left="420" w:leftChars="200"/>
    </w:pPr>
    <w:rPr>
      <w:rFonts w:ascii="Times New Roman" w:hAnsi="Times New Roman" w:eastAsia="宋体" w:cs="Times New Roman"/>
      <w:szCs w:val="24"/>
    </w:rPr>
  </w:style>
  <w:style w:type="character" w:styleId="10">
    <w:name w:val="footnote reference"/>
    <w:semiHidden/>
    <w:unhideWhenUsed/>
    <w:qFormat/>
    <w:uiPriority w:val="99"/>
    <w:rPr>
      <w:vertAlign w:val="superscript"/>
    </w:rPr>
  </w:style>
  <w:style w:type="character" w:customStyle="1" w:styleId="11">
    <w:name w:val="页眉 字符"/>
    <w:basedOn w:val="9"/>
    <w:link w:val="4"/>
    <w:qFormat/>
    <w:uiPriority w:val="99"/>
    <w:rPr>
      <w:rFonts w:ascii="Times New Roman" w:hAnsi="Times New Roman" w:eastAsia="宋体" w:cs="Times New Roman"/>
      <w:sz w:val="18"/>
      <w:szCs w:val="18"/>
    </w:rPr>
  </w:style>
  <w:style w:type="character" w:customStyle="1" w:styleId="12">
    <w:name w:val="页脚 字符"/>
    <w:basedOn w:val="9"/>
    <w:link w:val="3"/>
    <w:qFormat/>
    <w:uiPriority w:val="99"/>
    <w:rPr>
      <w:rFonts w:ascii="Times New Roman" w:hAnsi="Times New Roman" w:eastAsia="宋体" w:cs="Times New Roman"/>
      <w:sz w:val="18"/>
      <w:szCs w:val="18"/>
    </w:rPr>
  </w:style>
  <w:style w:type="character" w:customStyle="1" w:styleId="13">
    <w:name w:val="批注框文本 字符"/>
    <w:basedOn w:val="9"/>
    <w:link w:val="2"/>
    <w:semiHidden/>
    <w:qFormat/>
    <w:uiPriority w:val="99"/>
    <w:rPr>
      <w:sz w:val="18"/>
      <w:szCs w:val="18"/>
    </w:rPr>
  </w:style>
  <w:style w:type="paragraph" w:customStyle="1" w:styleId="14">
    <w:name w:val="Default"/>
    <w:qFormat/>
    <w:uiPriority w:val="0"/>
    <w:pPr>
      <w:widowControl w:val="0"/>
      <w:autoSpaceDE w:val="0"/>
      <w:autoSpaceDN w:val="0"/>
      <w:adjustRightInd w:val="0"/>
    </w:pPr>
    <w:rPr>
      <w:rFonts w:ascii="Times New Roman" w:hAnsi="Times New Roman" w:cs="Times New Roman" w:eastAsiaTheme="minorEastAsia"/>
      <w:color w:val="000000"/>
      <w:kern w:val="0"/>
      <w:sz w:val="24"/>
      <w:szCs w:val="24"/>
      <w:lang w:val="en-US" w:eastAsia="zh-CN" w:bidi="ar-SA"/>
    </w:rPr>
  </w:style>
  <w:style w:type="character" w:customStyle="1" w:styleId="15">
    <w:name w:val="脚注文本 字符"/>
    <w:basedOn w:val="9"/>
    <w:link w:val="6"/>
    <w:semiHidden/>
    <w:qFormat/>
    <w:uiPriority w:val="99"/>
    <w:rPr>
      <w:rFonts w:ascii="Calibri" w:hAnsi="Calibri" w:eastAsia="宋体" w:cs="Times New Roman"/>
      <w:sz w:val="18"/>
      <w:szCs w:val="18"/>
    </w:rPr>
  </w:style>
  <w:style w:type="paragraph" w:customStyle="1" w:styleId="16">
    <w:name w:val="单元格样式1"/>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17">
    <w:name w:val="单元格样式4"/>
    <w:basedOn w:val="1"/>
    <w:qFormat/>
    <w:uiPriority w:val="0"/>
    <w:pPr>
      <w:widowControl/>
      <w:jc w:val="right"/>
    </w:pPr>
    <w:rPr>
      <w:rFonts w:ascii="方正书宋_GBK" w:hAnsi="方正书宋_GBK" w:eastAsia="方正书宋_GBK" w:cs="方正书宋_GBK"/>
      <w:kern w:val="0"/>
      <w:szCs w:val="24"/>
      <w:lang w:eastAsia="uk-UA"/>
    </w:rPr>
  </w:style>
  <w:style w:type="paragraph" w:customStyle="1" w:styleId="18">
    <w:name w:val="单元格样式2"/>
    <w:basedOn w:val="1"/>
    <w:qFormat/>
    <w:uiPriority w:val="0"/>
    <w:pPr>
      <w:widowControl/>
      <w:jc w:val="left"/>
    </w:pPr>
    <w:rPr>
      <w:rFonts w:ascii="方正书宋_GBK" w:hAnsi="方正书宋_GBK" w:eastAsia="方正书宋_GBK" w:cs="方正书宋_GBK"/>
      <w:kern w:val="0"/>
      <w:szCs w:val="24"/>
      <w:lang w:eastAsia="uk-UA"/>
    </w:rPr>
  </w:style>
  <w:style w:type="paragraph" w:customStyle="1" w:styleId="19">
    <w:name w:val="单元格样式3"/>
    <w:basedOn w:val="1"/>
    <w:qFormat/>
    <w:uiPriority w:val="0"/>
    <w:pPr>
      <w:widowControl/>
      <w:jc w:val="center"/>
    </w:pPr>
    <w:rPr>
      <w:rFonts w:ascii="方正书宋_GBK" w:hAnsi="方正书宋_GBK" w:eastAsia="方正书宋_GBK" w:cs="方正书宋_GBK"/>
      <w:kern w:val="0"/>
      <w:szCs w:val="24"/>
      <w:lang w:eastAsia="uk-UA"/>
    </w:rPr>
  </w:style>
  <w:style w:type="paragraph" w:customStyle="1" w:styleId="20">
    <w:name w:val="单元格样式6"/>
    <w:basedOn w:val="1"/>
    <w:qFormat/>
    <w:uiPriority w:val="0"/>
    <w:pPr>
      <w:widowControl/>
      <w:jc w:val="center"/>
    </w:pPr>
    <w:rPr>
      <w:rFonts w:ascii="方正书宋_GBK" w:hAnsi="方正书宋_GBK" w:eastAsia="方正书宋_GBK" w:cs="方正书宋_GBK"/>
      <w:b/>
      <w:kern w:val="0"/>
      <w:szCs w:val="24"/>
      <w:lang w:eastAsia="uk-UA"/>
    </w:rPr>
  </w:style>
  <w:style w:type="paragraph" w:customStyle="1" w:styleId="21">
    <w:name w:val="单元格样式7"/>
    <w:basedOn w:val="1"/>
    <w:qFormat/>
    <w:uiPriority w:val="0"/>
    <w:pPr>
      <w:widowControl/>
      <w:jc w:val="right"/>
    </w:pPr>
    <w:rPr>
      <w:rFonts w:ascii="方正书宋_GBK" w:hAnsi="方正书宋_GBK" w:eastAsia="方正书宋_GBK" w:cs="方正书宋_GBK"/>
      <w:b/>
      <w:kern w:val="0"/>
      <w:szCs w:val="24"/>
      <w:lang w:eastAsia="uk-UA"/>
    </w:rPr>
  </w:style>
  <w:style w:type="paragraph" w:customStyle="1" w:styleId="22">
    <w:name w:val="单元格样式5"/>
    <w:basedOn w:val="1"/>
    <w:qFormat/>
    <w:uiPriority w:val="0"/>
    <w:pPr>
      <w:widowControl/>
      <w:jc w:val="left"/>
    </w:pPr>
    <w:rPr>
      <w:rFonts w:ascii="方正书宋_GBK" w:hAnsi="方正书宋_GBK" w:eastAsia="方正书宋_GBK" w:cs="方正书宋_GBK"/>
      <w:b/>
      <w:kern w:val="0"/>
      <w:szCs w:val="24"/>
      <w:lang w:eastAsia="uk-UA"/>
    </w:rPr>
  </w:style>
  <w:style w:type="paragraph" w:styleId="23">
    <w:name w:val="List Paragraph"/>
    <w:basedOn w:val="1"/>
    <w:unhideWhenUsed/>
    <w:qFormat/>
    <w:uiPriority w:val="99"/>
    <w:pPr>
      <w:ind w:firstLine="420" w:firstLineChars="200"/>
    </w:pPr>
    <w:rPr>
      <w:rFonts w:ascii="Times New Roman" w:hAnsi="Times New Roman"/>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84BA3-7C5F-4917-A3EB-75C8F65D075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12</Pages>
  <Words>2544</Words>
  <Characters>2664</Characters>
  <Lines>24</Lines>
  <Paragraphs>6</Paragraphs>
  <TotalTime>35</TotalTime>
  <ScaleCrop>false</ScaleCrop>
  <LinksUpToDate>false</LinksUpToDate>
  <CharactersWithSpaces>2669</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2023-02-07T08:07:00Z</dcterms:created>
  <dc:creator>guest</dc:creator>
  <cp:lastModifiedBy>莫上桑独舞</cp:lastModifiedBy>
  <cp:lastPrinted>2022-01-26T02:42:00Z</cp:lastPrinted>
  <dcterms:modified xsi:type="dcterms:W3CDTF">2024-11-04T02:31:52Z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3810F9720A1649A58CEC18D9D3DD4D1D_13</vt:lpwstr>
  </property>
</Properties>
</file>