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4" w:lineRule="exact"/>
        <w:jc w:val="center"/>
        <w:rPr>
          <w:rFonts w:ascii="方正小标宋简体" w:eastAsia="方正小标宋简体" w:cs="宋体" w:hAnsiTheme="majorEastAsia"/>
          <w:b/>
          <w:color w:val="484747"/>
          <w:kern w:val="0"/>
          <w:sz w:val="44"/>
          <w:szCs w:val="44"/>
        </w:rPr>
      </w:pPr>
      <w:r>
        <w:rPr>
          <w:rFonts w:ascii="方正小标宋简体" w:eastAsia="方正小标宋简体" w:cs="宋体" w:hAnsiTheme="majorEastAsia"/>
          <w:b/>
          <w:color w:val="484747"/>
          <w:kern w:val="0"/>
          <w:sz w:val="44"/>
          <w:szCs w:val="44"/>
        </w:rPr>
        <w:t>永清县</w:t>
      </w:r>
      <w:r>
        <w:rPr>
          <w:rFonts w:hint="eastAsia" w:ascii="方正小标宋简体" w:eastAsia="方正小标宋简体" w:cs="宋体" w:hAnsiTheme="majorEastAsia"/>
          <w:b/>
          <w:color w:val="484747"/>
          <w:kern w:val="0"/>
          <w:sz w:val="44"/>
          <w:szCs w:val="44"/>
        </w:rPr>
        <w:t>行政审批局</w:t>
      </w:r>
      <w:r>
        <w:rPr>
          <w:rFonts w:ascii="方正小标宋简体" w:eastAsia="方正小标宋简体" w:cs="宋体" w:hAnsiTheme="majorEastAsia"/>
          <w:b/>
          <w:color w:val="484747"/>
          <w:kern w:val="0"/>
          <w:sz w:val="44"/>
          <w:szCs w:val="44"/>
        </w:rPr>
        <w:t>20</w:t>
      </w:r>
      <w:r>
        <w:rPr>
          <w:rFonts w:hint="eastAsia" w:ascii="方正小标宋简体" w:eastAsia="方正小标宋简体" w:cs="宋体" w:hAnsiTheme="majorEastAsia"/>
          <w:b/>
          <w:color w:val="484747"/>
          <w:kern w:val="0"/>
          <w:sz w:val="44"/>
          <w:szCs w:val="44"/>
        </w:rPr>
        <w:t>2</w:t>
      </w:r>
      <w:r>
        <w:rPr>
          <w:rFonts w:ascii="方正小标宋简体" w:eastAsia="方正小标宋简体" w:cs="宋体" w:hAnsiTheme="majorEastAsia"/>
          <w:b/>
          <w:color w:val="484747"/>
          <w:kern w:val="0"/>
          <w:sz w:val="44"/>
          <w:szCs w:val="44"/>
        </w:rPr>
        <w:t>2年部门预算信息公开</w:t>
      </w:r>
      <w:r>
        <w:rPr>
          <w:rFonts w:hint="eastAsia" w:ascii="方正小标宋简体" w:eastAsia="方正小标宋简体" w:cs="宋体" w:hAnsiTheme="majorEastAsia"/>
          <w:b/>
          <w:color w:val="484747"/>
          <w:kern w:val="0"/>
          <w:sz w:val="44"/>
          <w:szCs w:val="44"/>
        </w:rPr>
        <w:t>情况说明</w:t>
      </w: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按照《中华人民共和国预算法》、《中华人民共和国预算法实施条例》、《地方预决算公开操作规程》和《河北省省级预算公开办法》规定，现将永清县</w:t>
      </w:r>
      <w:r>
        <w:rPr>
          <w:rFonts w:hint="eastAsia" w:ascii="仿宋" w:hAnsi="仿宋" w:eastAsia="仿宋" w:cs="Times New Roman"/>
          <w:sz w:val="32"/>
          <w:szCs w:val="32"/>
        </w:rPr>
        <w:t>行政审批局</w:t>
      </w:r>
      <w:r>
        <w:rPr>
          <w:rFonts w:ascii="仿宋" w:hAnsi="仿宋" w:eastAsia="仿宋" w:cs="Times New Roman"/>
          <w:sz w:val="32"/>
          <w:szCs w:val="32"/>
        </w:rPr>
        <w:t>20</w:t>
      </w:r>
      <w:r>
        <w:rPr>
          <w:rFonts w:hint="eastAsia" w:ascii="仿宋" w:hAnsi="仿宋" w:eastAsia="仿宋" w:cs="Times New Roman"/>
          <w:sz w:val="32"/>
          <w:szCs w:val="32"/>
        </w:rPr>
        <w:t>2</w:t>
      </w:r>
      <w:r>
        <w:rPr>
          <w:rFonts w:ascii="仿宋" w:hAnsi="仿宋" w:eastAsia="仿宋" w:cs="Times New Roman"/>
          <w:sz w:val="32"/>
          <w:szCs w:val="32"/>
        </w:rPr>
        <w:t>2年部门预算公开如下：</w:t>
      </w:r>
    </w:p>
    <w:p>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一、部门职责及机构设置情况</w:t>
      </w:r>
    </w:p>
    <w:p>
      <w:pPr>
        <w:spacing w:line="560" w:lineRule="exact"/>
        <w:ind w:firstLine="675" w:firstLineChars="210"/>
        <w:rPr>
          <w:rFonts w:ascii="Times New Roman" w:hAnsi="Times New Roman" w:eastAsia="楷体_GB2312" w:cs="Times New Roman"/>
          <w:b/>
          <w:sz w:val="32"/>
          <w:szCs w:val="32"/>
        </w:rPr>
      </w:pPr>
      <w:r>
        <w:rPr>
          <w:rFonts w:ascii="Times New Roman" w:hAnsi="Times New Roman" w:eastAsia="楷体_GB2312" w:cs="Times New Roman"/>
          <w:b/>
          <w:sz w:val="32"/>
          <w:szCs w:val="32"/>
        </w:rPr>
        <w:t>部门职责：</w:t>
      </w:r>
    </w:p>
    <w:p>
      <w:pPr>
        <w:spacing w:line="584" w:lineRule="exact"/>
        <w:ind w:firstLine="640" w:firstLineChars="200"/>
        <w:rPr>
          <w:rFonts w:ascii="仿宋" w:hAnsi="仿宋" w:eastAsia="仿宋" w:cs="Times New Roman"/>
          <w:sz w:val="32"/>
          <w:szCs w:val="32"/>
        </w:rPr>
      </w:pPr>
      <w:r>
        <w:rPr>
          <w:rFonts w:ascii="仿宋" w:hAnsi="仿宋" w:eastAsia="仿宋"/>
          <w:sz w:val="32"/>
          <w:szCs w:val="32"/>
        </w:rPr>
        <w:t>（</w:t>
      </w:r>
      <w:r>
        <w:rPr>
          <w:rFonts w:ascii="仿宋" w:hAnsi="仿宋" w:eastAsia="仿宋" w:cs="Times New Roman"/>
          <w:sz w:val="32"/>
          <w:szCs w:val="32"/>
        </w:rPr>
        <w:t>一）贯彻执行国家、省、市有关行政审批的方针政策、法律法规，制定行政审批局各项规章制度和管理办法，并组织实施。</w:t>
      </w:r>
    </w:p>
    <w:p>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（二）负责办理投资项目、商贸流通、文教卫生、土地城建、建设规划、市场服务、林业水务等划转至行政审批局事项，并对审批行为承担相应法律责任。</w:t>
      </w:r>
    </w:p>
    <w:p>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（三）负责对划入的审批事项进行流程再造和环节优化。</w:t>
      </w:r>
    </w:p>
    <w:p>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（四）负责与监管部门的联系沟通，建立健全审批与监管的有效衔接机制。</w:t>
      </w:r>
    </w:p>
    <w:p>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（五）负责对垂管部门和有关单位派驻窗口的规范、管理和监督。</w:t>
      </w:r>
    </w:p>
    <w:p>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（六）负责推进行政审批信息化建设。</w:t>
      </w:r>
    </w:p>
    <w:p>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（七）负责受理对本</w:t>
      </w:r>
      <w:r>
        <w:rPr>
          <w:rFonts w:hint="eastAsia" w:ascii="仿宋" w:hAnsi="仿宋" w:eastAsia="仿宋" w:cs="Times New Roman"/>
          <w:sz w:val="32"/>
          <w:szCs w:val="32"/>
          <w:lang w:eastAsia="zh-CN"/>
        </w:rPr>
        <w:t>部门</w:t>
      </w:r>
      <w:r>
        <w:rPr>
          <w:rFonts w:ascii="仿宋" w:hAnsi="仿宋" w:eastAsia="仿宋" w:cs="Times New Roman"/>
          <w:sz w:val="32"/>
          <w:szCs w:val="32"/>
        </w:rPr>
        <w:t>及派驻单位行政审批行为的投诉举报，会同相关部门查处行政审批方面的违纪违规行为。</w:t>
      </w:r>
    </w:p>
    <w:p>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（八）负责行政审批局及所属单位工作人员的教育培训、管理和绩效考核。</w:t>
      </w:r>
    </w:p>
    <w:p>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（九）承办县政府交办的其他事项。</w:t>
      </w:r>
    </w:p>
    <w:p>
      <w:pPr>
        <w:autoSpaceDE w:val="0"/>
        <w:autoSpaceDN w:val="0"/>
        <w:adjustRightInd w:val="0"/>
        <w:spacing w:line="584" w:lineRule="exact"/>
        <w:ind w:firstLine="630"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机构设置：</w:t>
      </w:r>
    </w:p>
    <w:p>
      <w:pPr>
        <w:spacing w:line="584" w:lineRule="exact"/>
        <w:jc w:val="center"/>
        <w:outlineLvl w:val="0"/>
        <w:rPr>
          <w:rFonts w:ascii="Times New Roman" w:hAnsi="Times New Roman" w:eastAsia="仿宋_GB2312" w:cs="Times New Roman"/>
          <w:b/>
          <w:sz w:val="32"/>
          <w:szCs w:val="24"/>
        </w:rPr>
      </w:pPr>
      <w:r>
        <w:rPr>
          <w:rFonts w:ascii="Times New Roman" w:hAnsi="Times New Roman" w:eastAsia="仿宋_GB2312" w:cs="Times New Roman"/>
          <w:b/>
          <w:sz w:val="32"/>
          <w:szCs w:val="24"/>
        </w:rPr>
        <w:t>部门机构设置情况</w:t>
      </w:r>
    </w:p>
    <w:tbl>
      <w:tblPr>
        <w:tblStyle w:val="8"/>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单位名称</w:t>
            </w:r>
          </w:p>
        </w:tc>
        <w:tc>
          <w:tcPr>
            <w:tcW w:w="1134"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单位性质</w:t>
            </w:r>
          </w:p>
        </w:tc>
        <w:tc>
          <w:tcPr>
            <w:tcW w:w="1276"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单位规格</w:t>
            </w:r>
          </w:p>
        </w:tc>
        <w:tc>
          <w:tcPr>
            <w:tcW w:w="2902"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1134"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1276"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2902"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60" w:lineRule="exact"/>
              <w:rPr>
                <w:rFonts w:ascii="仿宋" w:hAnsi="仿宋" w:eastAsia="仿宋"/>
                <w:kern w:val="0"/>
                <w:sz w:val="32"/>
                <w:szCs w:val="32"/>
              </w:rPr>
            </w:pPr>
            <w:r>
              <w:rPr>
                <w:rFonts w:hint="eastAsia" w:ascii="仿宋" w:hAnsi="仿宋" w:eastAsia="仿宋"/>
                <w:kern w:val="0"/>
                <w:sz w:val="32"/>
                <w:szCs w:val="32"/>
              </w:rPr>
              <w:t>永清县</w:t>
            </w:r>
            <w:r>
              <w:rPr>
                <w:rFonts w:ascii="仿宋" w:hAnsi="仿宋" w:eastAsia="仿宋"/>
                <w:kern w:val="0"/>
                <w:sz w:val="32"/>
                <w:szCs w:val="32"/>
              </w:rPr>
              <w:t>行政审批局</w:t>
            </w:r>
          </w:p>
        </w:tc>
        <w:tc>
          <w:tcPr>
            <w:tcW w:w="1134" w:type="dxa"/>
            <w:shd w:val="clear" w:color="auto" w:fill="auto"/>
            <w:vAlign w:val="center"/>
          </w:tcPr>
          <w:p>
            <w:pPr>
              <w:spacing w:line="560" w:lineRule="exact"/>
              <w:jc w:val="center"/>
              <w:rPr>
                <w:rFonts w:ascii="仿宋" w:hAnsi="仿宋" w:eastAsia="仿宋"/>
                <w:kern w:val="0"/>
                <w:sz w:val="32"/>
                <w:szCs w:val="32"/>
              </w:rPr>
            </w:pPr>
            <w:r>
              <w:rPr>
                <w:rFonts w:hint="eastAsia" w:ascii="仿宋" w:hAnsi="仿宋" w:eastAsia="仿宋"/>
                <w:kern w:val="0"/>
                <w:sz w:val="32"/>
                <w:szCs w:val="32"/>
              </w:rPr>
              <w:t>行政</w:t>
            </w:r>
          </w:p>
        </w:tc>
        <w:tc>
          <w:tcPr>
            <w:tcW w:w="1276" w:type="dxa"/>
            <w:shd w:val="clear" w:color="auto" w:fill="auto"/>
            <w:vAlign w:val="center"/>
          </w:tcPr>
          <w:p>
            <w:pPr>
              <w:spacing w:line="560" w:lineRule="exact"/>
              <w:jc w:val="center"/>
              <w:rPr>
                <w:rFonts w:ascii="仿宋" w:hAnsi="仿宋" w:eastAsia="仿宋"/>
                <w:kern w:val="0"/>
                <w:sz w:val="32"/>
                <w:szCs w:val="32"/>
              </w:rPr>
            </w:pPr>
            <w:r>
              <w:rPr>
                <w:rFonts w:hint="eastAsia" w:ascii="仿宋" w:hAnsi="仿宋" w:eastAsia="仿宋"/>
                <w:kern w:val="0"/>
                <w:sz w:val="32"/>
                <w:szCs w:val="32"/>
              </w:rPr>
              <w:t>正科级</w:t>
            </w:r>
          </w:p>
        </w:tc>
        <w:tc>
          <w:tcPr>
            <w:tcW w:w="2902" w:type="dxa"/>
            <w:shd w:val="clear" w:color="auto" w:fill="auto"/>
            <w:vAlign w:val="center"/>
          </w:tcPr>
          <w:p>
            <w:pPr>
              <w:spacing w:line="560" w:lineRule="exact"/>
              <w:jc w:val="center"/>
              <w:rPr>
                <w:rFonts w:ascii="仿宋" w:hAnsi="仿宋" w:eastAsia="仿宋"/>
                <w:kern w:val="0"/>
                <w:sz w:val="32"/>
                <w:szCs w:val="32"/>
              </w:rPr>
            </w:pPr>
            <w:r>
              <w:rPr>
                <w:rFonts w:hint="eastAsia" w:ascii="仿宋" w:hAnsi="仿宋" w:eastAsia="仿宋"/>
                <w:kern w:val="0"/>
                <w:sz w:val="32"/>
                <w:szCs w:val="32"/>
              </w:rPr>
              <w:t>财政</w:t>
            </w:r>
            <w:r>
              <w:rPr>
                <w:rFonts w:ascii="仿宋" w:hAnsi="仿宋" w:eastAsia="仿宋"/>
                <w:kern w:val="0"/>
                <w:sz w:val="32"/>
                <w:szCs w:val="32"/>
              </w:rPr>
              <w:t>拨款</w:t>
            </w:r>
          </w:p>
        </w:tc>
      </w:tr>
    </w:tbl>
    <w:p>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二、部门预算安排的总体情况</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按照预算管理有关规定，目前我县部门预算的编制实行综合预算制度，即全部收入和支出都反映在预算中。永清县</w:t>
      </w:r>
      <w:r>
        <w:rPr>
          <w:rFonts w:hint="eastAsia" w:ascii="Times New Roman" w:hAnsi="Times New Roman" w:eastAsia="仿宋_GB2312" w:cs="Times New Roman"/>
          <w:sz w:val="32"/>
          <w:szCs w:val="32"/>
        </w:rPr>
        <w:t>行政审批局</w:t>
      </w:r>
      <w:r>
        <w:rPr>
          <w:rFonts w:ascii="Times New Roman" w:hAnsi="Times New Roman" w:eastAsia="仿宋_GB2312" w:cs="Times New Roman"/>
          <w:sz w:val="32"/>
          <w:szCs w:val="32"/>
        </w:rPr>
        <w:t>机关及所属事业单位的收支包含在部门预算中。</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1、收入说明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反映本部门当年全部收入。20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2年预算收入2169</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07万元，其中：一般公共预算收入2169</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07万元，基金预算收入</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万元，财政专户核拨收入</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万元，其他来源收入</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上年结转</w:t>
      </w:r>
      <w:r>
        <w:rPr>
          <w:rFonts w:hint="eastAsia" w:ascii="Times New Roman" w:hAnsi="Times New Roman" w:eastAsia="仿宋_GB2312" w:cs="Times New Roman"/>
          <w:sz w:val="32"/>
          <w:szCs w:val="32"/>
        </w:rPr>
        <w:t>0万元</w:t>
      </w:r>
      <w:r>
        <w:rPr>
          <w:rFonts w:ascii="Times New Roman" w:hAnsi="Times New Roman" w:eastAsia="仿宋_GB2312" w:cs="Times New Roman"/>
          <w:sz w:val="32"/>
          <w:szCs w:val="32"/>
        </w:rPr>
        <w:t>。</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2、支出说明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收支预算总表支出栏、基本支出表、项目支出表按经济分类和支出功能分类科目编制，反映永清县</w:t>
      </w:r>
      <w:r>
        <w:rPr>
          <w:rFonts w:hint="eastAsia" w:ascii="Times New Roman" w:hAnsi="Times New Roman" w:eastAsia="仿宋_GB2312" w:cs="Times New Roman"/>
          <w:sz w:val="32"/>
          <w:szCs w:val="32"/>
        </w:rPr>
        <w:t>2022</w:t>
      </w:r>
      <w:r>
        <w:rPr>
          <w:rFonts w:ascii="Times New Roman" w:hAnsi="Times New Roman" w:eastAsia="仿宋_GB2312" w:cs="Times New Roman"/>
          <w:sz w:val="32"/>
          <w:szCs w:val="32"/>
        </w:rPr>
        <w:t>年度部门预算中支出预算的总体情况。20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2年支出预算2169</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07万元，其中基本支出</w:t>
      </w:r>
      <w:r>
        <w:rPr>
          <w:rFonts w:hint="eastAsia" w:ascii="Times New Roman" w:hAnsi="Times New Roman" w:eastAsia="仿宋_GB2312" w:cs="Times New Roman"/>
          <w:sz w:val="32"/>
          <w:szCs w:val="32"/>
        </w:rPr>
        <w:t>1352.07</w:t>
      </w:r>
      <w:r>
        <w:rPr>
          <w:rFonts w:ascii="Times New Roman" w:hAnsi="Times New Roman" w:eastAsia="仿宋_GB2312" w:cs="Times New Roman"/>
          <w:sz w:val="32"/>
          <w:szCs w:val="32"/>
        </w:rPr>
        <w:t>万元，包括人员类项目经费</w:t>
      </w:r>
      <w:r>
        <w:rPr>
          <w:rFonts w:hint="eastAsia" w:ascii="Times New Roman" w:hAnsi="Times New Roman" w:eastAsia="仿宋_GB2312" w:cs="Times New Roman"/>
          <w:sz w:val="32"/>
          <w:szCs w:val="32"/>
        </w:rPr>
        <w:t>1222.56</w:t>
      </w:r>
      <w:r>
        <w:rPr>
          <w:rFonts w:ascii="Times New Roman" w:hAnsi="Times New Roman" w:eastAsia="仿宋_GB2312" w:cs="Times New Roman"/>
          <w:sz w:val="32"/>
          <w:szCs w:val="32"/>
        </w:rPr>
        <w:t>万元和</w:t>
      </w:r>
      <w:r>
        <w:rPr>
          <w:rFonts w:hint="eastAsia" w:ascii="Times New Roman" w:hAnsi="Times New Roman" w:eastAsia="仿宋_GB2312" w:cs="Times New Roman"/>
          <w:sz w:val="32"/>
          <w:szCs w:val="32"/>
        </w:rPr>
        <w:t>运转类</w:t>
      </w:r>
      <w:r>
        <w:rPr>
          <w:rFonts w:ascii="Times New Roman" w:hAnsi="Times New Roman" w:eastAsia="仿宋_GB2312" w:cs="Times New Roman"/>
          <w:sz w:val="32"/>
          <w:szCs w:val="32"/>
        </w:rPr>
        <w:t>公用项目经费</w:t>
      </w:r>
      <w:r>
        <w:rPr>
          <w:rFonts w:hint="eastAsia" w:ascii="Times New Roman" w:hAnsi="Times New Roman" w:eastAsia="仿宋_GB2312" w:cs="Times New Roman"/>
          <w:sz w:val="32"/>
          <w:szCs w:val="32"/>
        </w:rPr>
        <w:t>129.51</w:t>
      </w:r>
      <w:r>
        <w:rPr>
          <w:rFonts w:ascii="Times New Roman" w:hAnsi="Times New Roman" w:eastAsia="仿宋_GB2312" w:cs="Times New Roman"/>
          <w:sz w:val="32"/>
          <w:szCs w:val="32"/>
        </w:rPr>
        <w:t>万元；运转类其他及特定目标类项目支出</w:t>
      </w:r>
      <w:r>
        <w:rPr>
          <w:rFonts w:hint="eastAsia" w:ascii="Times New Roman" w:hAnsi="Times New Roman" w:eastAsia="仿宋_GB2312" w:cs="Times New Roman"/>
          <w:sz w:val="32"/>
          <w:szCs w:val="32"/>
        </w:rPr>
        <w:t>817.00</w:t>
      </w:r>
      <w:r>
        <w:rPr>
          <w:rFonts w:ascii="Times New Roman" w:hAnsi="Times New Roman" w:eastAsia="仿宋_GB2312" w:cs="Times New Roman"/>
          <w:sz w:val="32"/>
          <w:szCs w:val="32"/>
        </w:rPr>
        <w:t>万元，包括本级支出</w:t>
      </w:r>
      <w:r>
        <w:rPr>
          <w:rFonts w:hint="eastAsia" w:ascii="Times New Roman" w:hAnsi="Times New Roman" w:eastAsia="仿宋_GB2312" w:cs="Times New Roman"/>
          <w:sz w:val="32"/>
          <w:szCs w:val="32"/>
        </w:rPr>
        <w:t>817.00</w:t>
      </w:r>
      <w:r>
        <w:rPr>
          <w:rFonts w:ascii="Times New Roman" w:hAnsi="Times New Roman" w:eastAsia="仿宋_GB2312" w:cs="Times New Roman"/>
          <w:sz w:val="32"/>
          <w:szCs w:val="32"/>
        </w:rPr>
        <w:t>万元，主要为机关运行经费、投资项目咨询评估服务经费、消防审验技术服务费等。</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3、比上年增减情况</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2年预算收支安排2169</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07万元，较20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1年预算增加</w:t>
      </w:r>
      <w:r>
        <w:rPr>
          <w:rFonts w:hint="eastAsia" w:ascii="Times New Roman" w:hAnsi="Times New Roman" w:eastAsia="仿宋_GB2312" w:cs="Times New Roman"/>
          <w:sz w:val="32"/>
          <w:szCs w:val="32"/>
        </w:rPr>
        <w:t>617.18</w:t>
      </w:r>
      <w:r>
        <w:rPr>
          <w:rFonts w:ascii="Times New Roman" w:hAnsi="Times New Roman" w:eastAsia="仿宋_GB2312" w:cs="Times New Roman"/>
          <w:sz w:val="32"/>
          <w:szCs w:val="32"/>
        </w:rPr>
        <w:t>万元，其中：基本支出增加</w:t>
      </w:r>
      <w:r>
        <w:rPr>
          <w:rFonts w:hint="eastAsia" w:ascii="Times New Roman" w:hAnsi="Times New Roman" w:eastAsia="仿宋_GB2312" w:cs="Times New Roman"/>
          <w:sz w:val="32"/>
          <w:szCs w:val="32"/>
        </w:rPr>
        <w:t>41.78</w:t>
      </w:r>
      <w:r>
        <w:rPr>
          <w:rFonts w:ascii="Times New Roman" w:hAnsi="Times New Roman" w:eastAsia="仿宋_GB2312" w:cs="Times New Roman"/>
          <w:sz w:val="32"/>
          <w:szCs w:val="32"/>
        </w:rPr>
        <w:t>万元，主要为</w:t>
      </w:r>
      <w:r>
        <w:rPr>
          <w:rFonts w:hint="eastAsia" w:ascii="Times New Roman" w:hAnsi="Times New Roman" w:eastAsia="仿宋_GB2312" w:cs="Times New Roman"/>
          <w:sz w:val="32"/>
          <w:szCs w:val="32"/>
        </w:rPr>
        <w:t>人员经费</w:t>
      </w:r>
      <w:r>
        <w:rPr>
          <w:rFonts w:ascii="Times New Roman" w:hAnsi="Times New Roman" w:eastAsia="仿宋_GB2312" w:cs="Times New Roman"/>
          <w:sz w:val="32"/>
          <w:szCs w:val="32"/>
        </w:rPr>
        <w:t>支出；项目支出增加</w:t>
      </w:r>
      <w:r>
        <w:rPr>
          <w:rFonts w:hint="eastAsia" w:ascii="Times New Roman" w:hAnsi="Times New Roman" w:eastAsia="仿宋_GB2312" w:cs="Times New Roman"/>
          <w:sz w:val="32"/>
          <w:szCs w:val="32"/>
        </w:rPr>
        <w:t>575.4</w:t>
      </w:r>
      <w:r>
        <w:rPr>
          <w:rFonts w:ascii="Times New Roman" w:hAnsi="Times New Roman" w:eastAsia="仿宋_GB2312" w:cs="Times New Roman"/>
          <w:sz w:val="32"/>
          <w:szCs w:val="32"/>
        </w:rPr>
        <w:t>万元，主要为县乡村三级政务服务平台网络专线费用及运行维护经费</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消防审验技术服务费</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房屋租赁费</w:t>
      </w:r>
      <w:r>
        <w:rPr>
          <w:rFonts w:hint="eastAsia" w:ascii="Times New Roman" w:hAnsi="Times New Roman" w:eastAsia="仿宋_GB2312" w:cs="Times New Roman"/>
          <w:sz w:val="32"/>
          <w:szCs w:val="32"/>
        </w:rPr>
        <w:t>等</w:t>
      </w:r>
      <w:r>
        <w:rPr>
          <w:rFonts w:ascii="Times New Roman" w:hAnsi="Times New Roman" w:eastAsia="仿宋_GB2312" w:cs="Times New Roman"/>
          <w:sz w:val="32"/>
          <w:szCs w:val="32"/>
        </w:rPr>
        <w:t>项目支出。</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三、机关运行经费安排情况</w:t>
      </w:r>
    </w:p>
    <w:p>
      <w:pPr>
        <w:autoSpaceDE w:val="0"/>
        <w:autoSpaceDN w:val="0"/>
        <w:adjustRightInd w:val="0"/>
        <w:spacing w:line="584"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2年，我局机关运行经费共计安排</w:t>
      </w:r>
      <w:r>
        <w:rPr>
          <w:rFonts w:hint="eastAsia" w:ascii="Times New Roman" w:hAnsi="Times New Roman" w:eastAsia="仿宋_GB2312" w:cs="Times New Roman"/>
          <w:sz w:val="32"/>
          <w:szCs w:val="32"/>
        </w:rPr>
        <w:t>129.51</w:t>
      </w:r>
      <w:r>
        <w:rPr>
          <w:rFonts w:ascii="Times New Roman" w:hAnsi="Times New Roman" w:eastAsia="仿宋_GB2312" w:cs="Times New Roman"/>
          <w:sz w:val="32"/>
          <w:szCs w:val="32"/>
        </w:rPr>
        <w:t>万元，主要用于</w:t>
      </w:r>
      <w:r>
        <w:rPr>
          <w:rFonts w:hint="eastAsia" w:ascii="Times New Roman" w:hAnsi="Times New Roman" w:eastAsia="仿宋_GB2312" w:cs="Times New Roman"/>
          <w:sz w:val="32"/>
          <w:szCs w:val="32"/>
        </w:rPr>
        <w:t>我部门</w:t>
      </w:r>
      <w:r>
        <w:rPr>
          <w:rFonts w:ascii="Times New Roman" w:hAnsi="Times New Roman" w:eastAsia="仿宋_GB2312" w:cs="Times New Roman"/>
          <w:sz w:val="32"/>
          <w:szCs w:val="32"/>
        </w:rPr>
        <w:t>办公区的日常维修、办公用房水电费、办公用房取暖费、办公用房物业管理费等日常运行支出。</w:t>
      </w:r>
    </w:p>
    <w:p>
      <w:pPr>
        <w:autoSpaceDE w:val="0"/>
        <w:autoSpaceDN w:val="0"/>
        <w:adjustRightInd w:val="0"/>
        <w:spacing w:line="584" w:lineRule="exact"/>
        <w:ind w:firstLine="630" w:firstLineChars="196"/>
        <w:jc w:val="left"/>
        <w:rPr>
          <w:rFonts w:ascii="Times New Roman" w:hAnsi="Times New Roman" w:eastAsia="仿宋_GB2312" w:cs="Times New Roman"/>
          <w:b/>
          <w:sz w:val="32"/>
          <w:szCs w:val="32"/>
        </w:rPr>
      </w:pPr>
      <w:r>
        <w:rPr>
          <w:rFonts w:ascii="Times New Roman" w:hAnsi="Times New Roman" w:eastAsia="仿宋_GB2312" w:cs="Times New Roman"/>
          <w:b/>
          <w:sz w:val="32"/>
          <w:szCs w:val="32"/>
        </w:rPr>
        <w:t>四、财政拨款“三公”经费预算情况及增减变化原因</w:t>
      </w:r>
    </w:p>
    <w:p>
      <w:pPr>
        <w:autoSpaceDE w:val="0"/>
        <w:autoSpaceDN w:val="0"/>
        <w:adjustRightInd w:val="0"/>
        <w:spacing w:line="584"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2年，我局财政拨款“三公”经费预算安排</w:t>
      </w:r>
      <w:r>
        <w:rPr>
          <w:rFonts w:hint="eastAsia" w:ascii="Times New Roman" w:hAnsi="Times New Roman" w:eastAsia="仿宋_GB2312" w:cs="Times New Roman"/>
          <w:sz w:val="32"/>
          <w:szCs w:val="32"/>
        </w:rPr>
        <w:t>1.17</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其中</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因公出国（境）费</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万元；公务用车购置及运维费</w:t>
      </w:r>
      <w:r>
        <w:rPr>
          <w:rFonts w:hint="eastAsia" w:ascii="Times New Roman" w:hAnsi="Times New Roman" w:eastAsia="仿宋_GB2312" w:cs="Times New Roman"/>
          <w:sz w:val="32"/>
          <w:szCs w:val="32"/>
        </w:rPr>
        <w:t>1.17</w:t>
      </w:r>
      <w:r>
        <w:rPr>
          <w:rFonts w:ascii="Times New Roman" w:hAnsi="Times New Roman" w:eastAsia="仿宋_GB2312" w:cs="Times New Roman"/>
          <w:sz w:val="32"/>
          <w:szCs w:val="32"/>
        </w:rPr>
        <w:t>万元（其中：公务用车购置费为</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万元，公务用车运维费</w:t>
      </w:r>
      <w:r>
        <w:rPr>
          <w:rFonts w:hint="eastAsia" w:ascii="Times New Roman" w:hAnsi="Times New Roman" w:eastAsia="仿宋_GB2312" w:cs="Times New Roman"/>
          <w:sz w:val="32"/>
          <w:szCs w:val="32"/>
        </w:rPr>
        <w:t>1.17</w:t>
      </w:r>
      <w:r>
        <w:rPr>
          <w:rFonts w:ascii="Times New Roman" w:hAnsi="Times New Roman" w:eastAsia="仿宋_GB2312" w:cs="Times New Roman"/>
          <w:sz w:val="32"/>
          <w:szCs w:val="32"/>
        </w:rPr>
        <w:t>万元)；公务接待费</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万元。与20</w:t>
      </w:r>
      <w:r>
        <w:rPr>
          <w:rFonts w:hint="eastAsia" w:ascii="Times New Roman" w:hAnsi="Times New Roman" w:eastAsia="仿宋_GB2312" w:cs="Times New Roman"/>
          <w:sz w:val="32"/>
          <w:szCs w:val="32"/>
        </w:rPr>
        <w:t>21</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rPr>
        <w:t>相比</w:t>
      </w:r>
      <w:r>
        <w:rPr>
          <w:rFonts w:ascii="Times New Roman" w:hAnsi="Times New Roman" w:eastAsia="仿宋_GB2312" w:cs="Times New Roman"/>
          <w:sz w:val="32"/>
          <w:szCs w:val="32"/>
        </w:rPr>
        <w:t>持平，</w:t>
      </w:r>
      <w:r>
        <w:rPr>
          <w:rFonts w:hint="eastAsia" w:ascii="Times New Roman" w:hAnsi="Times New Roman" w:eastAsia="仿宋_GB2312" w:cs="Times New Roman"/>
          <w:sz w:val="32"/>
          <w:szCs w:val="32"/>
        </w:rPr>
        <w:t>其中，</w:t>
      </w:r>
      <w:r>
        <w:rPr>
          <w:rFonts w:ascii="Times New Roman" w:hAnsi="Times New Roman" w:eastAsia="仿宋_GB2312" w:cs="Times New Roman"/>
          <w:sz w:val="32"/>
          <w:szCs w:val="32"/>
        </w:rPr>
        <w:t>公务用车购置及运维费与20</w:t>
      </w:r>
      <w:r>
        <w:rPr>
          <w:rFonts w:hint="eastAsia" w:ascii="Times New Roman" w:hAnsi="Times New Roman" w:eastAsia="仿宋_GB2312" w:cs="Times New Roman"/>
          <w:sz w:val="32"/>
          <w:szCs w:val="32"/>
        </w:rPr>
        <w:t>21</w:t>
      </w:r>
      <w:r>
        <w:rPr>
          <w:rFonts w:ascii="Times New Roman" w:hAnsi="Times New Roman" w:eastAsia="仿宋_GB2312" w:cs="Times New Roman"/>
          <w:sz w:val="32"/>
          <w:szCs w:val="32"/>
        </w:rPr>
        <w:t>年相比持平，无增减变化；公务接待费与20</w:t>
      </w:r>
      <w:r>
        <w:rPr>
          <w:rFonts w:hint="eastAsia" w:ascii="Times New Roman" w:hAnsi="Times New Roman" w:eastAsia="仿宋_GB2312" w:cs="Times New Roman"/>
          <w:sz w:val="32"/>
          <w:szCs w:val="32"/>
        </w:rPr>
        <w:t>21</w:t>
      </w:r>
      <w:r>
        <w:rPr>
          <w:rFonts w:ascii="Times New Roman" w:hAnsi="Times New Roman" w:eastAsia="仿宋_GB2312" w:cs="Times New Roman"/>
          <w:sz w:val="32"/>
          <w:szCs w:val="32"/>
        </w:rPr>
        <w:t>年相比持平，无增减变化。</w:t>
      </w:r>
    </w:p>
    <w:p>
      <w:pPr>
        <w:spacing w:line="584" w:lineRule="exact"/>
        <w:ind w:firstLine="640" w:firstLineChars="200"/>
        <w:rPr>
          <w:rFonts w:ascii="Times New Roman" w:hAnsi="黑体" w:eastAsia="黑体" w:cs="Times New Roman"/>
          <w:sz w:val="32"/>
          <w:szCs w:val="32"/>
        </w:rPr>
      </w:pPr>
    </w:p>
    <w:p>
      <w:pPr>
        <w:spacing w:line="584" w:lineRule="exact"/>
        <w:ind w:firstLine="640" w:firstLineChars="200"/>
        <w:rPr>
          <w:rFonts w:ascii="Times New Roman" w:hAnsi="黑体" w:eastAsia="黑体" w:cs="Times New Roman"/>
          <w:sz w:val="32"/>
          <w:szCs w:val="32"/>
        </w:rPr>
      </w:pPr>
      <w:r>
        <w:rPr>
          <w:rFonts w:ascii="Times New Roman" w:hAnsi="黑体" w:eastAsia="黑体" w:cs="Times New Roman"/>
          <w:sz w:val="32"/>
          <w:szCs w:val="32"/>
        </w:rPr>
        <w:t>五、绩效预算信息</w:t>
      </w:r>
    </w:p>
    <w:p>
      <w:p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rPr>
        <w:t>第一部分部门整体绩效目标</w:t>
      </w:r>
    </w:p>
    <w:p>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（一）总体绩效目标</w:t>
      </w:r>
    </w:p>
    <w:p>
      <w:pPr>
        <w:pStyle w:val="23"/>
        <w:ind w:firstLine="640" w:firstLineChars="200"/>
        <w:rPr>
          <w:rFonts w:ascii="仿宋" w:hAnsi="仿宋" w:eastAsia="仿宋"/>
          <w:sz w:val="32"/>
          <w:szCs w:val="32"/>
        </w:rPr>
      </w:pPr>
      <w:r>
        <w:rPr>
          <w:rFonts w:ascii="仿宋" w:hAnsi="仿宋" w:eastAsia="仿宋"/>
          <w:sz w:val="32"/>
          <w:szCs w:val="32"/>
        </w:rPr>
        <w:t>一是全面推开“一枚印章管审批”改革，实现“大厅以外无审批”。根据《县级行政审批局行政许可事项划转指导目录》和《永清县深化行政审批制度改革方案》要求，进一步整合行政审批职能职责，科学再造审批流程，实现应划必划。暂不具备划转条件的，要推动相关部门进驻审批服务大厅集中办理。对全县行政审批制度改革再优化，努力实现行政审批、政务服务全覆盖、全流程、全优化、标准化。</w:t>
      </w:r>
    </w:p>
    <w:p>
      <w:pPr>
        <w:pStyle w:val="23"/>
        <w:ind w:firstLine="640" w:firstLineChars="200"/>
        <w:rPr>
          <w:rFonts w:ascii="仿宋" w:hAnsi="仿宋" w:eastAsia="仿宋"/>
          <w:sz w:val="32"/>
          <w:szCs w:val="32"/>
        </w:rPr>
      </w:pPr>
      <w:r>
        <w:rPr>
          <w:rFonts w:ascii="仿宋" w:hAnsi="仿宋" w:eastAsia="仿宋"/>
          <w:sz w:val="32"/>
          <w:szCs w:val="32"/>
        </w:rPr>
        <w:t>二是企业开办实现4小时，企业注册“即时办”。继续推行“1236”暖企工作模式，利用“企业开办区”的便利条件，力争企业设立、公章刻制、社保登记、税务领取4个小时内办结。</w:t>
      </w:r>
    </w:p>
    <w:p>
      <w:pPr>
        <w:pStyle w:val="23"/>
        <w:ind w:firstLine="640" w:firstLineChars="200"/>
        <w:rPr>
          <w:rFonts w:ascii="仿宋" w:hAnsi="仿宋" w:eastAsia="仿宋"/>
          <w:sz w:val="32"/>
          <w:szCs w:val="32"/>
        </w:rPr>
      </w:pPr>
      <w:r>
        <w:rPr>
          <w:rFonts w:ascii="仿宋" w:hAnsi="仿宋" w:eastAsia="仿宋"/>
          <w:sz w:val="32"/>
          <w:szCs w:val="32"/>
        </w:rPr>
        <w:t>三是进一步完善工程建设项目审批管理系统。在切实落实我局职责的同时，持续与相关部门沟通协调，按照“横向到边、纵向到底”的原则确保工程建设项目审批管理系统全部覆盖我县工程建设项目审批事项清单，确保全流程无断点。依托永清县工程建设项目审批系统开展工程竣工联合验收，推进线上线下融合，推广全程网上办理模式，实现统一受理、并联审批、实时流转、跟踪督办、信息共享。</w:t>
      </w:r>
    </w:p>
    <w:p>
      <w:pPr>
        <w:pStyle w:val="23"/>
        <w:ind w:firstLine="640" w:firstLineChars="200"/>
        <w:rPr>
          <w:rFonts w:ascii="仿宋" w:hAnsi="仿宋" w:eastAsia="仿宋"/>
          <w:sz w:val="32"/>
          <w:szCs w:val="32"/>
        </w:rPr>
      </w:pPr>
      <w:r>
        <w:rPr>
          <w:rFonts w:ascii="仿宋" w:hAnsi="仿宋" w:eastAsia="仿宋"/>
          <w:sz w:val="32"/>
          <w:szCs w:val="32"/>
        </w:rPr>
        <w:t>四是推进“互联网+政务服务”改革。（1）优化公共服务，提高政府行政效能。依托河北政务服务网推进各类服务事项网上申报、查询办理进度等全流程网上运行，大力推动实体政务大厅、网上政务平台、移动客户端、自助终端等综合运用，促进线上线下一体运行，最大程度地便民利企。（2）推进事项网上可办和全流程网办”。大力推进依申请类政务服务事项网上办理。在一体化平台上开展网上申报、受理、审批、办结。（3）加强“冀时办”应用对接和宣传推广。聚焦企业群众需求，再推进一批公安、人社、教育、民政、卫健、住建等重点领域应用接入冀时办，同时积极在宣传推广“冀时办”，最终实现“网上办”，“指尖办”。</w:t>
      </w:r>
    </w:p>
    <w:p>
      <w:pPr>
        <w:pStyle w:val="23"/>
        <w:ind w:firstLine="640" w:firstLineChars="200"/>
        <w:rPr>
          <w:rFonts w:ascii="仿宋" w:hAnsi="仿宋" w:eastAsia="仿宋"/>
          <w:sz w:val="32"/>
          <w:szCs w:val="32"/>
        </w:rPr>
      </w:pPr>
      <w:r>
        <w:rPr>
          <w:rFonts w:ascii="仿宋" w:hAnsi="仿宋" w:eastAsia="仿宋"/>
          <w:sz w:val="32"/>
          <w:szCs w:val="32"/>
        </w:rPr>
        <w:t>五是深化招投标领域改革，实现全公开全透明。（1）建立交易信息管理系统，加大交易信息公开透明度，可通过手机、互联网等随时随地查询永清县公共资源交易信息。（2）上线不见面开标直播大厅系统，为进一步优化网上开标大厅，由传统的文字直播改为视频直播，为市场主体开放更加直观的交易全过程，进一步促进公平交易。</w:t>
      </w:r>
    </w:p>
    <w:p>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（二）分项绩效目标</w:t>
      </w:r>
    </w:p>
    <w:p>
      <w:pPr>
        <w:pStyle w:val="23"/>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 xml:space="preserve">精简审批流程，压缩审批时限，提高审批效率。 </w:t>
      </w:r>
    </w:p>
    <w:p>
      <w:pPr>
        <w:pStyle w:val="23"/>
        <w:ind w:firstLine="640" w:firstLineChars="200"/>
        <w:rPr>
          <w:rFonts w:ascii="仿宋" w:hAnsi="仿宋" w:eastAsia="仿宋"/>
          <w:sz w:val="32"/>
          <w:szCs w:val="32"/>
        </w:rPr>
      </w:pPr>
      <w:r>
        <w:rPr>
          <w:rFonts w:ascii="仿宋" w:hAnsi="仿宋" w:eastAsia="仿宋"/>
          <w:sz w:val="32"/>
          <w:szCs w:val="32"/>
        </w:rPr>
        <w:t>绩效目标: 以“程序最简、资料最少、时限最短、跑腿最少”为原则，精简审批流程，压缩审批时限，提高审批效率。</w:t>
      </w:r>
    </w:p>
    <w:p>
      <w:pPr>
        <w:pStyle w:val="23"/>
        <w:ind w:firstLine="640" w:firstLineChars="200"/>
        <w:rPr>
          <w:rFonts w:ascii="仿宋" w:hAnsi="仿宋" w:eastAsia="仿宋"/>
          <w:sz w:val="32"/>
          <w:szCs w:val="32"/>
        </w:rPr>
      </w:pPr>
      <w:r>
        <w:rPr>
          <w:rFonts w:ascii="仿宋" w:hAnsi="仿宋" w:eastAsia="仿宋"/>
          <w:sz w:val="32"/>
          <w:szCs w:val="32"/>
        </w:rPr>
        <w:t>绩效指标: 审批事项按时办结率。通过统计，切实提高审批效率，缩短时限，减低行政成本，审批事项按时办结率≥90%</w:t>
      </w:r>
    </w:p>
    <w:p>
      <w:pPr>
        <w:pStyle w:val="23"/>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加强公共资源交易平台标准化建设，确保交易公开、公平、公正，保障市场主体合法权益。</w:t>
      </w:r>
    </w:p>
    <w:p>
      <w:pPr>
        <w:pStyle w:val="23"/>
        <w:ind w:firstLine="640" w:firstLineChars="200"/>
        <w:rPr>
          <w:rFonts w:ascii="仿宋" w:hAnsi="仿宋" w:eastAsia="仿宋"/>
          <w:sz w:val="32"/>
          <w:szCs w:val="32"/>
        </w:rPr>
      </w:pPr>
      <w:r>
        <w:rPr>
          <w:rFonts w:ascii="仿宋" w:hAnsi="仿宋" w:eastAsia="仿宋"/>
          <w:sz w:val="32"/>
          <w:szCs w:val="32"/>
        </w:rPr>
        <w:t>绩效目标: 协调指导全县公共资源交易市场工作。</w:t>
      </w:r>
    </w:p>
    <w:p>
      <w:pPr>
        <w:pStyle w:val="23"/>
        <w:ind w:firstLine="640" w:firstLineChars="200"/>
        <w:rPr>
          <w:rFonts w:ascii="仿宋" w:hAnsi="仿宋" w:eastAsia="仿宋"/>
          <w:sz w:val="32"/>
          <w:szCs w:val="32"/>
        </w:rPr>
      </w:pPr>
      <w:r>
        <w:rPr>
          <w:rFonts w:ascii="仿宋" w:hAnsi="仿宋" w:eastAsia="仿宋"/>
          <w:sz w:val="32"/>
          <w:szCs w:val="32"/>
        </w:rPr>
        <w:t>绩效指标：进场交易率。确保进场交易项目公开、公平、公正运行。进场交易率≥90%</w:t>
      </w:r>
    </w:p>
    <w:p>
      <w:pPr>
        <w:pStyle w:val="23"/>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优化政务服务环境，改进政务服务措施，推行服务标准化，不断提升群众满意度。</w:t>
      </w:r>
    </w:p>
    <w:p>
      <w:pPr>
        <w:pStyle w:val="23"/>
        <w:ind w:firstLine="640" w:firstLineChars="200"/>
        <w:rPr>
          <w:rFonts w:ascii="仿宋" w:hAnsi="仿宋" w:eastAsia="仿宋"/>
          <w:sz w:val="32"/>
          <w:szCs w:val="32"/>
        </w:rPr>
      </w:pPr>
      <w:r>
        <w:rPr>
          <w:rFonts w:ascii="仿宋" w:hAnsi="仿宋" w:eastAsia="仿宋"/>
          <w:sz w:val="32"/>
          <w:szCs w:val="32"/>
        </w:rPr>
        <w:t>绩效目标：对进驻部门窗口的协调管理和服务；对窗口办件情况的督查和统计分析；推进县、乡镇、村三级平台网络建设；推进永清县新政务服务大厅建设。</w:t>
      </w:r>
    </w:p>
    <w:p>
      <w:pPr>
        <w:pStyle w:val="23"/>
        <w:ind w:firstLine="640" w:firstLineChars="200"/>
        <w:rPr>
          <w:rFonts w:ascii="仿宋" w:hAnsi="仿宋" w:eastAsia="仿宋"/>
          <w:sz w:val="32"/>
          <w:szCs w:val="32"/>
        </w:rPr>
      </w:pPr>
      <w:r>
        <w:rPr>
          <w:rFonts w:ascii="仿宋" w:hAnsi="仿宋" w:eastAsia="仿宋"/>
          <w:sz w:val="32"/>
          <w:szCs w:val="32"/>
        </w:rPr>
        <w:t>绩效指标: 政务服务事项按时办结率≥90%</w:t>
      </w:r>
    </w:p>
    <w:p>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（三）工作保障措施</w:t>
      </w:r>
    </w:p>
    <w:p>
      <w:pPr>
        <w:pStyle w:val="23"/>
        <w:ind w:firstLine="640" w:firstLineChars="200"/>
        <w:rPr>
          <w:rFonts w:ascii="仿宋" w:hAnsi="仿宋" w:eastAsia="仿宋"/>
          <w:sz w:val="32"/>
          <w:szCs w:val="32"/>
        </w:rPr>
      </w:pPr>
      <w:r>
        <w:rPr>
          <w:rFonts w:ascii="仿宋" w:hAnsi="仿宋" w:eastAsia="仿宋"/>
          <w:sz w:val="32"/>
          <w:szCs w:val="32"/>
        </w:rPr>
        <w:t>制定完善预算绩效管理制度、资金管理办法、工作保障制度等，为全年预算绩效目标的实现奠定制度基础。</w:t>
      </w:r>
    </w:p>
    <w:p>
      <w:pPr>
        <w:pStyle w:val="23"/>
        <w:ind w:firstLine="640" w:firstLineChars="200"/>
        <w:rPr>
          <w:rFonts w:ascii="仿宋" w:hAnsi="仿宋" w:eastAsia="仿宋"/>
          <w:sz w:val="32"/>
          <w:szCs w:val="32"/>
        </w:rPr>
      </w:pPr>
      <w:r>
        <w:rPr>
          <w:rFonts w:ascii="仿宋" w:hAnsi="仿宋" w:eastAsia="仿宋"/>
          <w:sz w:val="32"/>
          <w:szCs w:val="32"/>
        </w:rPr>
        <w:t>加强支出管理。永清县行政审批局通过优化支出结构、编细编实预算、，做好资金保障。保障部门履行职责所需经费、政府购买社会服务项目和一些绩效评估结果较好的专项项目，区分轻重缓急，统筹安排。加快履行政府采购手续，按规定及时下达资金等多种措施，确保支出进度达标，及时发挥财政资金效益。加快履行政府采购手续、尽快启动项目、及时支付资金、6月底前细化代编预算、按规定及时下达资金等多种措施，确保支出进度达标。</w:t>
      </w:r>
    </w:p>
    <w:p>
      <w:pPr>
        <w:pStyle w:val="23"/>
        <w:ind w:firstLine="640" w:firstLineChars="200"/>
        <w:rPr>
          <w:rFonts w:ascii="仿宋" w:hAnsi="仿宋" w:eastAsia="仿宋"/>
          <w:sz w:val="32"/>
          <w:szCs w:val="32"/>
        </w:rPr>
      </w:pPr>
      <w:r>
        <w:rPr>
          <w:rFonts w:ascii="仿宋" w:hAnsi="仿宋" w:eastAsia="仿宋"/>
          <w:sz w:val="32"/>
          <w:szCs w:val="32"/>
        </w:rPr>
        <w:t>加强绩效运行监控。我局成立绩效管理工作领导小组,按要求开展绩效运行监控，发现问题及时采取措施，确保绩效目标如期保质实现。注重实效,加强预算绩效管理。落实全面预算绩效管理要求，将事前绩效评估、绩效目标设定、绩效跟踪、绩效评价及结果运用纳入预算编制、执行、监督全过程。围绕部门职责和事业发展规划设定绩效目标，准确衡量部门整体及核心业务实施效果，按要求开展部门预算绩效实时监控、绩效自评和重点评价工作，对评价中发现的问题及时整改，推动提高部门整体绩效管理水平。</w:t>
      </w:r>
    </w:p>
    <w:p>
      <w:pPr>
        <w:pStyle w:val="23"/>
        <w:ind w:firstLine="640" w:firstLineChars="200"/>
        <w:rPr>
          <w:rFonts w:ascii="仿宋" w:hAnsi="仿宋" w:eastAsia="仿宋"/>
          <w:sz w:val="32"/>
          <w:szCs w:val="32"/>
        </w:rPr>
      </w:pPr>
      <w:r>
        <w:rPr>
          <w:rFonts w:ascii="仿宋" w:hAnsi="仿宋" w:eastAsia="仿宋"/>
          <w:sz w:val="32"/>
          <w:szCs w:val="32"/>
        </w:rPr>
        <w:t>规范财务资产管理。我局进一步完善《永清县行政审批局财务管理制度》严格审批程序，加强固定资产登记、使用和的报废处置管理，做到支出合理，物尽其用。</w:t>
      </w:r>
    </w:p>
    <w:p>
      <w:pPr>
        <w:pStyle w:val="23"/>
        <w:ind w:firstLine="640" w:firstLineChars="200"/>
        <w:rPr>
          <w:rFonts w:ascii="仿宋" w:hAnsi="仿宋" w:eastAsia="仿宋"/>
          <w:sz w:val="32"/>
          <w:szCs w:val="32"/>
        </w:rPr>
      </w:pPr>
      <w:r>
        <w:rPr>
          <w:rFonts w:ascii="仿宋" w:hAnsi="仿宋" w:eastAsia="仿宋"/>
          <w:sz w:val="32"/>
          <w:szCs w:val="32"/>
        </w:rPr>
        <w:t>加强内部监督。加强内部监督制度建设，设立永清县行政审批局内审机构，对绩效运行情况、重大支出决策、对外投资、资产处置及其他重要经济业务事项的决策和执行进行督导，对会计资料进行内部审计，并配合做好审计、财政监督等外部监督工作，确保财政资金安全有效。</w:t>
      </w:r>
    </w:p>
    <w:p>
      <w:pPr>
        <w:pStyle w:val="23"/>
        <w:ind w:firstLine="640" w:firstLineChars="200"/>
        <w:rPr>
          <w:rFonts w:ascii="仿宋" w:hAnsi="仿宋" w:eastAsia="仿宋"/>
          <w:sz w:val="32"/>
          <w:szCs w:val="32"/>
        </w:rPr>
      </w:pPr>
      <w:r>
        <w:rPr>
          <w:rFonts w:ascii="仿宋" w:hAnsi="仿宋" w:eastAsia="仿宋"/>
          <w:sz w:val="32"/>
          <w:szCs w:val="32"/>
        </w:rPr>
        <w:t>加强宣传培训调研。2022年我局将组织人员培训，参加县级组织的培训会,加强自身想学习意识,在工作中不断琢磨学习,提高本部门职工业务素质；加强调研，提出优化财政资金配置、提高资金使用效益的意见；加大宣传力度，强化预算绩效管理意识，促进预算绩效管理水平进一步提升。</w:t>
      </w:r>
    </w:p>
    <w:p>
      <w:pPr>
        <w:overflowPunct w:val="0"/>
        <w:adjustRightInd w:val="0"/>
        <w:snapToGrid w:val="0"/>
        <w:spacing w:afterLines="50" w:line="580" w:lineRule="exact"/>
        <w:ind w:firstLine="630" w:firstLineChars="196"/>
        <w:jc w:val="left"/>
        <w:rPr>
          <w:rFonts w:ascii="楷体_GB2312" w:eastAsia="楷体_GB2312" w:cs="Times New Roman"/>
          <w:b/>
          <w:sz w:val="32"/>
          <w:szCs w:val="32"/>
        </w:rPr>
      </w:pPr>
      <w:r>
        <w:rPr>
          <w:rFonts w:hint="eastAsia" w:ascii="楷体_GB2312" w:eastAsia="楷体_GB2312" w:cs="Times New Roman"/>
          <w:b/>
          <w:sz w:val="32"/>
          <w:szCs w:val="32"/>
        </w:rPr>
        <w:t>（四）部门整体支出绩效指标</w:t>
      </w:r>
    </w:p>
    <w:tbl>
      <w:tblPr>
        <w:tblStyle w:val="8"/>
        <w:tblW w:w="14175" w:type="dxa"/>
        <w:tblInd w:w="15" w:type="dxa"/>
        <w:tblLayout w:type="fixed"/>
        <w:tblCellMar>
          <w:top w:w="0" w:type="dxa"/>
          <w:left w:w="0" w:type="dxa"/>
          <w:bottom w:w="0" w:type="dxa"/>
          <w:right w:w="0" w:type="dxa"/>
        </w:tblCellMar>
      </w:tblPr>
      <w:tblGrid>
        <w:gridCol w:w="1622"/>
        <w:gridCol w:w="2910"/>
        <w:gridCol w:w="1474"/>
        <w:gridCol w:w="1838"/>
        <w:gridCol w:w="2279"/>
        <w:gridCol w:w="792"/>
        <w:gridCol w:w="1134"/>
        <w:gridCol w:w="1134"/>
        <w:gridCol w:w="992"/>
      </w:tblGrid>
      <w:tr>
        <w:tblPrEx>
          <w:tblCellMar>
            <w:top w:w="0" w:type="dxa"/>
            <w:left w:w="0" w:type="dxa"/>
            <w:bottom w:w="0" w:type="dxa"/>
            <w:right w:w="0" w:type="dxa"/>
          </w:tblCellMar>
        </w:tblPrEx>
        <w:trPr>
          <w:trHeight w:val="720" w:hRule="atLeast"/>
        </w:trPr>
        <w:tc>
          <w:tcPr>
            <w:tcW w:w="14175" w:type="dxa"/>
            <w:gridSpan w:val="9"/>
            <w:tcBorders>
              <w:top w:val="nil"/>
              <w:left w:val="nil"/>
              <w:bottom w:val="single" w:color="auto" w:sz="4" w:space="0"/>
              <w:right w:val="nil"/>
            </w:tcBorders>
            <w:shd w:val="clear" w:color="auto" w:fill="FFFFFF" w:themeFill="background1"/>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部门整体支出绩效指标情况</w:t>
            </w:r>
          </w:p>
        </w:tc>
      </w:tr>
      <w:tr>
        <w:tblPrEx>
          <w:tblCellMar>
            <w:top w:w="0" w:type="dxa"/>
            <w:left w:w="0" w:type="dxa"/>
            <w:bottom w:w="0" w:type="dxa"/>
            <w:right w:w="0" w:type="dxa"/>
          </w:tblCellMar>
        </w:tblPrEx>
        <w:trPr>
          <w:trHeight w:val="720" w:hRule="atLeast"/>
        </w:trPr>
        <w:tc>
          <w:tcPr>
            <w:tcW w:w="1622" w:type="dxa"/>
            <w:vMerge w:val="restar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一级指标</w:t>
            </w:r>
          </w:p>
        </w:tc>
        <w:tc>
          <w:tcPr>
            <w:tcW w:w="2910" w:type="dxa"/>
            <w:vMerge w:val="restar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二级指标</w:t>
            </w:r>
          </w:p>
        </w:tc>
        <w:tc>
          <w:tcPr>
            <w:tcW w:w="1474" w:type="dxa"/>
            <w:vMerge w:val="restar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三级指标</w:t>
            </w:r>
          </w:p>
        </w:tc>
        <w:tc>
          <w:tcPr>
            <w:tcW w:w="1838" w:type="dxa"/>
            <w:vMerge w:val="restar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绩效指标描述</w:t>
            </w:r>
          </w:p>
        </w:tc>
        <w:tc>
          <w:tcPr>
            <w:tcW w:w="2279" w:type="dxa"/>
            <w:vMerge w:val="restar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评（扣）分标准</w:t>
            </w:r>
          </w:p>
        </w:tc>
        <w:tc>
          <w:tcPr>
            <w:tcW w:w="3060" w:type="dxa"/>
            <w:gridSpan w:val="3"/>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指标值</w:t>
            </w:r>
          </w:p>
        </w:tc>
        <w:tc>
          <w:tcPr>
            <w:tcW w:w="992" w:type="dxa"/>
            <w:vMerge w:val="restar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指标值确定依据</w:t>
            </w:r>
          </w:p>
        </w:tc>
      </w:tr>
      <w:tr>
        <w:tblPrEx>
          <w:tblCellMar>
            <w:top w:w="0" w:type="dxa"/>
            <w:left w:w="0" w:type="dxa"/>
            <w:bottom w:w="0" w:type="dxa"/>
            <w:right w:w="0" w:type="dxa"/>
          </w:tblCellMar>
        </w:tblPrEx>
        <w:trPr>
          <w:trHeight w:val="720" w:hRule="atLeast"/>
        </w:trPr>
        <w:tc>
          <w:tcPr>
            <w:tcW w:w="1622" w:type="dxa"/>
            <w:vMerge w:val="continue"/>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b/>
                <w:color w:val="000000"/>
                <w:sz w:val="32"/>
                <w:szCs w:val="32"/>
              </w:rPr>
            </w:pPr>
          </w:p>
        </w:tc>
        <w:tc>
          <w:tcPr>
            <w:tcW w:w="2910" w:type="dxa"/>
            <w:vMerge w:val="continue"/>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b/>
                <w:color w:val="000000"/>
                <w:sz w:val="32"/>
                <w:szCs w:val="32"/>
              </w:rPr>
            </w:pPr>
          </w:p>
        </w:tc>
        <w:tc>
          <w:tcPr>
            <w:tcW w:w="1474"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jc w:val="center"/>
              <w:rPr>
                <w:rFonts w:ascii="仿宋" w:hAnsi="仿宋" w:eastAsia="仿宋" w:cs="宋体"/>
                <w:b/>
                <w:color w:val="000000"/>
                <w:sz w:val="32"/>
                <w:szCs w:val="32"/>
              </w:rPr>
            </w:pPr>
          </w:p>
        </w:tc>
        <w:tc>
          <w:tcPr>
            <w:tcW w:w="1838"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jc w:val="center"/>
              <w:rPr>
                <w:rFonts w:ascii="仿宋" w:hAnsi="仿宋" w:eastAsia="仿宋" w:cs="宋体"/>
                <w:b/>
                <w:color w:val="000000"/>
                <w:sz w:val="32"/>
                <w:szCs w:val="32"/>
              </w:rPr>
            </w:pPr>
          </w:p>
        </w:tc>
        <w:tc>
          <w:tcPr>
            <w:tcW w:w="2279" w:type="dxa"/>
            <w:vMerge w:val="continue"/>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b/>
                <w:color w:val="000000"/>
                <w:sz w:val="32"/>
                <w:szCs w:val="32"/>
              </w:rPr>
            </w:pPr>
          </w:p>
        </w:tc>
        <w:tc>
          <w:tcPr>
            <w:tcW w:w="79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符号</w:t>
            </w:r>
          </w:p>
        </w:tc>
        <w:tc>
          <w:tcPr>
            <w:tcW w:w="113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值</w:t>
            </w:r>
          </w:p>
        </w:tc>
        <w:tc>
          <w:tcPr>
            <w:tcW w:w="113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单位（文字描述）</w:t>
            </w:r>
          </w:p>
        </w:tc>
        <w:tc>
          <w:tcPr>
            <w:tcW w:w="992" w:type="dxa"/>
            <w:vMerge w:val="continue"/>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jc w:val="center"/>
              <w:rPr>
                <w:rFonts w:ascii="仿宋" w:hAnsi="仿宋" w:eastAsia="仿宋" w:cs="宋体"/>
                <w:b/>
                <w:color w:val="000000"/>
                <w:sz w:val="32"/>
                <w:szCs w:val="32"/>
              </w:rPr>
            </w:pPr>
          </w:p>
        </w:tc>
      </w:tr>
      <w:tr>
        <w:tblPrEx>
          <w:tblCellMar>
            <w:top w:w="0" w:type="dxa"/>
            <w:left w:w="0" w:type="dxa"/>
            <w:bottom w:w="0" w:type="dxa"/>
            <w:right w:w="0" w:type="dxa"/>
          </w:tblCellMar>
        </w:tblPrEx>
        <w:trPr>
          <w:trHeight w:val="720" w:hRule="atLeast"/>
        </w:trPr>
        <w:tc>
          <w:tcPr>
            <w:tcW w:w="1622" w:type="dxa"/>
            <w:vMerge w:val="restar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产出指标</w:t>
            </w:r>
          </w:p>
        </w:tc>
        <w:tc>
          <w:tcPr>
            <w:tcW w:w="2910"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数量指标</w:t>
            </w:r>
          </w:p>
        </w:tc>
        <w:tc>
          <w:tcPr>
            <w:tcW w:w="147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机关工作正常运行时间</w:t>
            </w:r>
          </w:p>
        </w:tc>
        <w:tc>
          <w:tcPr>
            <w:tcW w:w="183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机关工作正常运行时间</w:t>
            </w:r>
          </w:p>
        </w:tc>
        <w:tc>
          <w:tcPr>
            <w:tcW w:w="2279"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tcPr>
          <w:p>
            <w:pPr>
              <w:widowControl/>
              <w:jc w:val="center"/>
              <w:textAlignment w:val="top"/>
              <w:rPr>
                <w:rFonts w:ascii="仿宋" w:hAnsi="仿宋" w:eastAsia="仿宋" w:cs="宋体"/>
                <w:color w:val="000000"/>
                <w:sz w:val="32"/>
                <w:szCs w:val="32"/>
              </w:rPr>
            </w:pPr>
            <w:r>
              <w:rPr>
                <w:rFonts w:hint="eastAsia" w:ascii="仿宋" w:hAnsi="仿宋" w:eastAsia="仿宋" w:cs="宋体"/>
                <w:color w:val="000000"/>
                <w:kern w:val="0"/>
                <w:sz w:val="32"/>
                <w:szCs w:val="32"/>
              </w:rPr>
              <w:t>按规定标准判定</w:t>
            </w:r>
          </w:p>
        </w:tc>
        <w:tc>
          <w:tcPr>
            <w:tcW w:w="79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w:t>
            </w:r>
          </w:p>
        </w:tc>
        <w:tc>
          <w:tcPr>
            <w:tcW w:w="1134"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1.00</w:t>
            </w:r>
          </w:p>
        </w:tc>
        <w:tc>
          <w:tcPr>
            <w:tcW w:w="113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年</w:t>
            </w:r>
          </w:p>
        </w:tc>
        <w:tc>
          <w:tcPr>
            <w:tcW w:w="99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计划标准</w:t>
            </w:r>
          </w:p>
        </w:tc>
      </w:tr>
      <w:tr>
        <w:trPr>
          <w:trHeight w:val="720" w:hRule="atLeast"/>
        </w:trPr>
        <w:tc>
          <w:tcPr>
            <w:tcW w:w="1622" w:type="dxa"/>
            <w:vMerge w:val="continue"/>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b/>
                <w:color w:val="000000"/>
                <w:sz w:val="32"/>
                <w:szCs w:val="32"/>
              </w:rPr>
            </w:pPr>
          </w:p>
        </w:tc>
        <w:tc>
          <w:tcPr>
            <w:tcW w:w="2910"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质量指标</w:t>
            </w:r>
          </w:p>
        </w:tc>
        <w:tc>
          <w:tcPr>
            <w:tcW w:w="147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机关运行工作完成合格率</w:t>
            </w:r>
          </w:p>
        </w:tc>
        <w:tc>
          <w:tcPr>
            <w:tcW w:w="183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保证机关各项工作正常运转</w:t>
            </w:r>
          </w:p>
        </w:tc>
        <w:tc>
          <w:tcPr>
            <w:tcW w:w="2279"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tcPr>
          <w:p>
            <w:pPr>
              <w:widowControl/>
              <w:jc w:val="center"/>
              <w:textAlignment w:val="top"/>
              <w:rPr>
                <w:rFonts w:ascii="仿宋" w:hAnsi="仿宋" w:eastAsia="仿宋" w:cs="宋体"/>
                <w:color w:val="000000"/>
                <w:sz w:val="32"/>
                <w:szCs w:val="32"/>
              </w:rPr>
            </w:pPr>
            <w:r>
              <w:rPr>
                <w:rFonts w:hint="eastAsia" w:ascii="仿宋" w:hAnsi="仿宋" w:eastAsia="仿宋" w:cs="宋体"/>
                <w:color w:val="000000"/>
                <w:kern w:val="0"/>
                <w:sz w:val="32"/>
                <w:szCs w:val="32"/>
              </w:rPr>
              <w:t>按规定标准判定</w:t>
            </w:r>
          </w:p>
        </w:tc>
        <w:tc>
          <w:tcPr>
            <w:tcW w:w="79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w:t>
            </w:r>
          </w:p>
        </w:tc>
        <w:tc>
          <w:tcPr>
            <w:tcW w:w="1134"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100.00</w:t>
            </w:r>
          </w:p>
        </w:tc>
        <w:tc>
          <w:tcPr>
            <w:tcW w:w="113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w:t>
            </w:r>
          </w:p>
        </w:tc>
        <w:tc>
          <w:tcPr>
            <w:tcW w:w="99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计划标准</w:t>
            </w:r>
          </w:p>
        </w:tc>
      </w:tr>
      <w:tr>
        <w:tblPrEx>
          <w:tblCellMar>
            <w:top w:w="0" w:type="dxa"/>
            <w:left w:w="0" w:type="dxa"/>
            <w:bottom w:w="0" w:type="dxa"/>
            <w:right w:w="0" w:type="dxa"/>
          </w:tblCellMar>
        </w:tblPrEx>
        <w:trPr>
          <w:trHeight w:val="720" w:hRule="atLeast"/>
        </w:trPr>
        <w:tc>
          <w:tcPr>
            <w:tcW w:w="1622" w:type="dxa"/>
            <w:vMerge w:val="continue"/>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b/>
                <w:color w:val="000000"/>
                <w:sz w:val="32"/>
                <w:szCs w:val="32"/>
              </w:rPr>
            </w:pPr>
          </w:p>
        </w:tc>
        <w:tc>
          <w:tcPr>
            <w:tcW w:w="2910"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时效指标</w:t>
            </w:r>
          </w:p>
        </w:tc>
        <w:tc>
          <w:tcPr>
            <w:tcW w:w="147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机关运行工作完成及时性</w:t>
            </w:r>
          </w:p>
        </w:tc>
        <w:tc>
          <w:tcPr>
            <w:tcW w:w="183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机关工作及时完成</w:t>
            </w:r>
          </w:p>
        </w:tc>
        <w:tc>
          <w:tcPr>
            <w:tcW w:w="2279"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tcPr>
          <w:p>
            <w:pPr>
              <w:widowControl/>
              <w:jc w:val="center"/>
              <w:textAlignment w:val="top"/>
              <w:rPr>
                <w:rFonts w:ascii="仿宋" w:hAnsi="仿宋" w:eastAsia="仿宋" w:cs="宋体"/>
                <w:color w:val="000000"/>
                <w:sz w:val="32"/>
                <w:szCs w:val="32"/>
              </w:rPr>
            </w:pPr>
            <w:r>
              <w:rPr>
                <w:rFonts w:hint="eastAsia" w:ascii="仿宋" w:hAnsi="仿宋" w:eastAsia="仿宋" w:cs="宋体"/>
                <w:color w:val="000000"/>
                <w:kern w:val="0"/>
                <w:sz w:val="32"/>
                <w:szCs w:val="32"/>
              </w:rPr>
              <w:t>按规定标准判定</w:t>
            </w:r>
          </w:p>
        </w:tc>
        <w:tc>
          <w:tcPr>
            <w:tcW w:w="79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文字描述</w:t>
            </w:r>
          </w:p>
        </w:tc>
        <w:tc>
          <w:tcPr>
            <w:tcW w:w="1134"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color w:val="000000"/>
                <w:sz w:val="32"/>
                <w:szCs w:val="32"/>
              </w:rPr>
            </w:pPr>
          </w:p>
        </w:tc>
        <w:tc>
          <w:tcPr>
            <w:tcW w:w="113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按计划及时完成工作</w:t>
            </w:r>
          </w:p>
        </w:tc>
        <w:tc>
          <w:tcPr>
            <w:tcW w:w="99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计划标准</w:t>
            </w:r>
          </w:p>
        </w:tc>
      </w:tr>
      <w:tr>
        <w:trPr>
          <w:trHeight w:val="720" w:hRule="atLeast"/>
        </w:trPr>
        <w:tc>
          <w:tcPr>
            <w:tcW w:w="1622" w:type="dxa"/>
            <w:vMerge w:val="continue"/>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b/>
                <w:color w:val="000000"/>
                <w:sz w:val="32"/>
                <w:szCs w:val="32"/>
              </w:rPr>
            </w:pPr>
          </w:p>
        </w:tc>
        <w:tc>
          <w:tcPr>
            <w:tcW w:w="2910"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成本指标</w:t>
            </w:r>
          </w:p>
        </w:tc>
        <w:tc>
          <w:tcPr>
            <w:tcW w:w="147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日常公用经费开支标准</w:t>
            </w:r>
          </w:p>
        </w:tc>
        <w:tc>
          <w:tcPr>
            <w:tcW w:w="183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办公费、水电费、交通费、会议费、工会经费、招待费及其他公用经费的开支标准</w:t>
            </w:r>
          </w:p>
        </w:tc>
        <w:tc>
          <w:tcPr>
            <w:tcW w:w="2279"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tcPr>
          <w:p>
            <w:pPr>
              <w:widowControl/>
              <w:jc w:val="center"/>
              <w:textAlignment w:val="top"/>
              <w:rPr>
                <w:rFonts w:ascii="仿宋" w:hAnsi="仿宋" w:eastAsia="仿宋" w:cs="宋体"/>
                <w:color w:val="000000"/>
                <w:sz w:val="32"/>
                <w:szCs w:val="32"/>
              </w:rPr>
            </w:pPr>
            <w:r>
              <w:rPr>
                <w:rFonts w:hint="eastAsia" w:ascii="仿宋" w:hAnsi="仿宋" w:eastAsia="仿宋" w:cs="宋体"/>
                <w:color w:val="000000"/>
                <w:kern w:val="0"/>
                <w:sz w:val="32"/>
                <w:szCs w:val="32"/>
              </w:rPr>
              <w:t>按统一规定执行</w:t>
            </w:r>
          </w:p>
        </w:tc>
        <w:tc>
          <w:tcPr>
            <w:tcW w:w="79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文字描述</w:t>
            </w:r>
          </w:p>
        </w:tc>
        <w:tc>
          <w:tcPr>
            <w:tcW w:w="1134"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color w:val="000000"/>
                <w:sz w:val="32"/>
                <w:szCs w:val="32"/>
              </w:rPr>
            </w:pPr>
          </w:p>
        </w:tc>
        <w:tc>
          <w:tcPr>
            <w:tcW w:w="113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按统一规定执行</w:t>
            </w:r>
          </w:p>
        </w:tc>
        <w:tc>
          <w:tcPr>
            <w:tcW w:w="99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计划标准</w:t>
            </w:r>
          </w:p>
        </w:tc>
      </w:tr>
      <w:tr>
        <w:tblPrEx>
          <w:tblCellMar>
            <w:top w:w="0" w:type="dxa"/>
            <w:left w:w="0" w:type="dxa"/>
            <w:bottom w:w="0" w:type="dxa"/>
            <w:right w:w="0" w:type="dxa"/>
          </w:tblCellMar>
        </w:tblPrEx>
        <w:trPr>
          <w:trHeight w:val="720" w:hRule="atLeast"/>
        </w:trPr>
        <w:tc>
          <w:tcPr>
            <w:tcW w:w="1622" w:type="dxa"/>
            <w:vMerge w:val="restar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效益指标</w:t>
            </w:r>
          </w:p>
        </w:tc>
        <w:tc>
          <w:tcPr>
            <w:tcW w:w="2910"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可持续影响指标</w:t>
            </w:r>
          </w:p>
        </w:tc>
        <w:tc>
          <w:tcPr>
            <w:tcW w:w="147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制度及实施方案健全程度</w:t>
            </w:r>
          </w:p>
        </w:tc>
        <w:tc>
          <w:tcPr>
            <w:tcW w:w="183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以后年度项目持续实施是否具备健全的制度保障</w:t>
            </w:r>
          </w:p>
        </w:tc>
        <w:tc>
          <w:tcPr>
            <w:tcW w:w="2279"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tcPr>
          <w:p>
            <w:pPr>
              <w:widowControl/>
              <w:jc w:val="center"/>
              <w:textAlignment w:val="top"/>
              <w:rPr>
                <w:rFonts w:ascii="仿宋" w:hAnsi="仿宋" w:eastAsia="仿宋" w:cs="宋体"/>
                <w:color w:val="000000"/>
                <w:sz w:val="32"/>
                <w:szCs w:val="32"/>
              </w:rPr>
            </w:pPr>
            <w:r>
              <w:rPr>
                <w:rFonts w:hint="eastAsia" w:ascii="仿宋" w:hAnsi="仿宋" w:eastAsia="仿宋" w:cs="宋体"/>
                <w:color w:val="000000"/>
                <w:kern w:val="0"/>
                <w:sz w:val="32"/>
                <w:szCs w:val="32"/>
              </w:rPr>
              <w:t>按规定标准判定</w:t>
            </w:r>
          </w:p>
        </w:tc>
        <w:tc>
          <w:tcPr>
            <w:tcW w:w="79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文字描述</w:t>
            </w:r>
          </w:p>
        </w:tc>
        <w:tc>
          <w:tcPr>
            <w:tcW w:w="1134"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color w:val="000000"/>
                <w:sz w:val="32"/>
                <w:szCs w:val="32"/>
              </w:rPr>
            </w:pPr>
          </w:p>
        </w:tc>
        <w:tc>
          <w:tcPr>
            <w:tcW w:w="113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健全</w:t>
            </w:r>
          </w:p>
        </w:tc>
        <w:tc>
          <w:tcPr>
            <w:tcW w:w="99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计划标准</w:t>
            </w:r>
          </w:p>
        </w:tc>
      </w:tr>
      <w:tr>
        <w:trPr>
          <w:trHeight w:val="720" w:hRule="atLeast"/>
        </w:trPr>
        <w:tc>
          <w:tcPr>
            <w:tcW w:w="1622" w:type="dxa"/>
            <w:vMerge w:val="continue"/>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b/>
                <w:color w:val="000000"/>
                <w:sz w:val="32"/>
                <w:szCs w:val="32"/>
              </w:rPr>
            </w:pPr>
          </w:p>
        </w:tc>
        <w:tc>
          <w:tcPr>
            <w:tcW w:w="2910"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社会效益指标</w:t>
            </w:r>
          </w:p>
        </w:tc>
        <w:tc>
          <w:tcPr>
            <w:tcW w:w="147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政务服务办事效率</w:t>
            </w:r>
          </w:p>
        </w:tc>
        <w:tc>
          <w:tcPr>
            <w:tcW w:w="183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提高工作效率，提高政务服务水平</w:t>
            </w:r>
          </w:p>
        </w:tc>
        <w:tc>
          <w:tcPr>
            <w:tcW w:w="2279"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tcPr>
          <w:p>
            <w:pPr>
              <w:widowControl/>
              <w:jc w:val="center"/>
              <w:textAlignment w:val="top"/>
              <w:rPr>
                <w:rFonts w:ascii="仿宋" w:hAnsi="仿宋" w:eastAsia="仿宋" w:cs="宋体"/>
                <w:color w:val="000000"/>
                <w:sz w:val="32"/>
                <w:szCs w:val="32"/>
              </w:rPr>
            </w:pPr>
            <w:r>
              <w:rPr>
                <w:rFonts w:hint="eastAsia" w:ascii="仿宋" w:hAnsi="仿宋" w:eastAsia="仿宋" w:cs="宋体"/>
                <w:color w:val="000000"/>
                <w:kern w:val="0"/>
                <w:sz w:val="32"/>
                <w:szCs w:val="32"/>
              </w:rPr>
              <w:t>按规定标准判定</w:t>
            </w:r>
          </w:p>
        </w:tc>
        <w:tc>
          <w:tcPr>
            <w:tcW w:w="79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文字描述</w:t>
            </w:r>
          </w:p>
        </w:tc>
        <w:tc>
          <w:tcPr>
            <w:tcW w:w="1134"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jc w:val="center"/>
              <w:rPr>
                <w:rFonts w:ascii="仿宋" w:hAnsi="仿宋" w:eastAsia="仿宋" w:cs="宋体"/>
                <w:color w:val="000000"/>
                <w:sz w:val="32"/>
                <w:szCs w:val="32"/>
              </w:rPr>
            </w:pPr>
          </w:p>
        </w:tc>
        <w:tc>
          <w:tcPr>
            <w:tcW w:w="113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比上一年度提升</w:t>
            </w:r>
          </w:p>
        </w:tc>
        <w:tc>
          <w:tcPr>
            <w:tcW w:w="99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计划标准</w:t>
            </w:r>
          </w:p>
        </w:tc>
      </w:tr>
      <w:tr>
        <w:tblPrEx>
          <w:tblCellMar>
            <w:top w:w="0" w:type="dxa"/>
            <w:left w:w="0" w:type="dxa"/>
            <w:bottom w:w="0" w:type="dxa"/>
            <w:right w:w="0" w:type="dxa"/>
          </w:tblCellMar>
        </w:tblPrEx>
        <w:trPr>
          <w:trHeight w:val="720" w:hRule="atLeast"/>
        </w:trPr>
        <w:tc>
          <w:tcPr>
            <w:tcW w:w="162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b/>
                <w:color w:val="000000"/>
                <w:sz w:val="32"/>
                <w:szCs w:val="32"/>
              </w:rPr>
            </w:pPr>
            <w:r>
              <w:rPr>
                <w:rFonts w:hint="eastAsia" w:ascii="仿宋" w:hAnsi="仿宋" w:eastAsia="仿宋" w:cs="宋体"/>
                <w:b/>
                <w:color w:val="000000"/>
                <w:kern w:val="0"/>
                <w:sz w:val="32"/>
                <w:szCs w:val="32"/>
              </w:rPr>
              <w:t>满意度指标</w:t>
            </w:r>
          </w:p>
        </w:tc>
        <w:tc>
          <w:tcPr>
            <w:tcW w:w="2910"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服务对象满意度指标</w:t>
            </w:r>
          </w:p>
        </w:tc>
        <w:tc>
          <w:tcPr>
            <w:tcW w:w="147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办事群众对象满意度（%）</w:t>
            </w:r>
          </w:p>
        </w:tc>
        <w:tc>
          <w:tcPr>
            <w:tcW w:w="183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调查中满意和较满意的群众人数占调查总人数的比率</w:t>
            </w:r>
          </w:p>
        </w:tc>
        <w:tc>
          <w:tcPr>
            <w:tcW w:w="2279"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tcPr>
          <w:p>
            <w:pPr>
              <w:widowControl/>
              <w:jc w:val="center"/>
              <w:textAlignment w:val="top"/>
              <w:rPr>
                <w:rFonts w:ascii="仿宋" w:hAnsi="仿宋" w:eastAsia="仿宋" w:cs="宋体"/>
                <w:color w:val="000000"/>
                <w:sz w:val="32"/>
                <w:szCs w:val="32"/>
              </w:rPr>
            </w:pPr>
            <w:r>
              <w:rPr>
                <w:rFonts w:hint="eastAsia" w:ascii="仿宋" w:hAnsi="仿宋" w:eastAsia="仿宋" w:cs="宋体"/>
                <w:color w:val="000000"/>
                <w:kern w:val="0"/>
                <w:sz w:val="32"/>
                <w:szCs w:val="32"/>
              </w:rPr>
              <w:t>按规定标准判定</w:t>
            </w:r>
          </w:p>
        </w:tc>
        <w:tc>
          <w:tcPr>
            <w:tcW w:w="79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w:t>
            </w:r>
          </w:p>
        </w:tc>
        <w:tc>
          <w:tcPr>
            <w:tcW w:w="1134"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90.00</w:t>
            </w:r>
          </w:p>
        </w:tc>
        <w:tc>
          <w:tcPr>
            <w:tcW w:w="113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w:t>
            </w:r>
          </w:p>
        </w:tc>
        <w:tc>
          <w:tcPr>
            <w:tcW w:w="99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ascii="仿宋" w:hAnsi="仿宋" w:eastAsia="仿宋" w:cs="宋体"/>
                <w:color w:val="000000"/>
                <w:sz w:val="32"/>
                <w:szCs w:val="32"/>
              </w:rPr>
            </w:pPr>
            <w:r>
              <w:rPr>
                <w:rFonts w:hint="eastAsia" w:ascii="仿宋" w:hAnsi="仿宋" w:eastAsia="仿宋" w:cs="宋体"/>
                <w:color w:val="000000"/>
                <w:kern w:val="0"/>
                <w:sz w:val="32"/>
                <w:szCs w:val="32"/>
              </w:rPr>
              <w:t>调查问卷</w:t>
            </w:r>
          </w:p>
        </w:tc>
      </w:tr>
    </w:tbl>
    <w:p>
      <w:pPr>
        <w:overflowPunct w:val="0"/>
        <w:adjustRightInd w:val="0"/>
        <w:snapToGrid w:val="0"/>
        <w:spacing w:afterLines="50" w:line="580" w:lineRule="exact"/>
        <w:ind w:firstLine="630" w:firstLineChars="196"/>
        <w:jc w:val="left"/>
        <w:rPr>
          <w:rFonts w:ascii="楷体_GB2312" w:eastAsia="楷体_GB2312" w:cs="Times New Roman"/>
          <w:b/>
          <w:sz w:val="32"/>
          <w:szCs w:val="32"/>
        </w:rPr>
      </w:pPr>
    </w:p>
    <w:p>
      <w:p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rPr>
        <w:t>第二部分资金绩效目标</w:t>
      </w:r>
    </w:p>
    <w:p>
      <w:pPr>
        <w:spacing w:line="584" w:lineRule="exact"/>
        <w:ind w:firstLine="640" w:firstLineChars="200"/>
        <w:rPr>
          <w:rFonts w:ascii="Times New Roman" w:hAnsi="黑体" w:eastAsia="黑体" w:cs="Times New Roman"/>
          <w:sz w:val="32"/>
          <w:szCs w:val="32"/>
        </w:rPr>
      </w:pPr>
    </w:p>
    <w:p>
      <w:pPr>
        <w:ind w:firstLine="560"/>
      </w:pPr>
      <w:r>
        <w:rPr>
          <w:rFonts w:ascii="方正仿宋_GBK" w:hAnsi="方正仿宋_GBK" w:eastAsia="方正仿宋_GBK" w:cs="方正仿宋_GBK"/>
          <w:b/>
          <w:color w:val="000000"/>
          <w:sz w:val="28"/>
        </w:rPr>
        <w:t>1、办公楼生活废水垃圾清运经费绩效目标表</w:t>
      </w:r>
    </w:p>
    <w:tbl>
      <w:tblPr>
        <w:tblStyle w:val="8"/>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6"/>
            </w:pPr>
            <w:r>
              <w:t>绩效目标</w:t>
            </w:r>
          </w:p>
        </w:tc>
        <w:tc>
          <w:tcPr>
            <w:tcW w:w="12756" w:type="dxa"/>
            <w:tcBorders>
              <w:bottom w:val="single" w:color="FFFFFF" w:sz="6" w:space="0"/>
            </w:tcBorders>
            <w:vAlign w:val="center"/>
          </w:tcPr>
          <w:p>
            <w:pPr>
              <w:pStyle w:val="18"/>
            </w:pPr>
            <w:r>
              <w:t>1.生活废水和生活垃圾每天按时清理，保障政务中心环境整洁。</w:t>
            </w:r>
          </w:p>
          <w:p>
            <w:pPr>
              <w:pStyle w:val="18"/>
            </w:pPr>
            <w:r>
              <w:t>2.改善办公环境，提高工作效率。</w:t>
            </w:r>
          </w:p>
          <w:p>
            <w:pPr>
              <w:pStyle w:val="18"/>
            </w:pPr>
            <w:r>
              <w:t>3.提供良好的工作环境，提高工作人员的办事效率，提升办事群众的满意度。</w:t>
            </w:r>
          </w:p>
        </w:tc>
      </w:tr>
    </w:tbl>
    <w:p>
      <w:pPr>
        <w:spacing w:line="2" w:lineRule="exact"/>
        <w:jc w:val="cente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6"/>
            </w:pPr>
            <w:r>
              <w:t>一级指标</w:t>
            </w:r>
          </w:p>
        </w:tc>
        <w:tc>
          <w:tcPr>
            <w:tcW w:w="2268" w:type="dxa"/>
            <w:vAlign w:val="center"/>
          </w:tcPr>
          <w:p>
            <w:pPr>
              <w:pStyle w:val="16"/>
            </w:pPr>
            <w:r>
              <w:t>二级指标</w:t>
            </w:r>
          </w:p>
        </w:tc>
        <w:tc>
          <w:tcPr>
            <w:tcW w:w="2835" w:type="dxa"/>
            <w:vAlign w:val="center"/>
          </w:tcPr>
          <w:p>
            <w:pPr>
              <w:pStyle w:val="16"/>
            </w:pPr>
            <w:r>
              <w:t>三级指标</w:t>
            </w:r>
          </w:p>
        </w:tc>
        <w:tc>
          <w:tcPr>
            <w:tcW w:w="2835" w:type="dxa"/>
            <w:vAlign w:val="center"/>
          </w:tcPr>
          <w:p>
            <w:pPr>
              <w:pStyle w:val="16"/>
            </w:pPr>
            <w:r>
              <w:t>绩效指标描述</w:t>
            </w:r>
          </w:p>
        </w:tc>
        <w:tc>
          <w:tcPr>
            <w:tcW w:w="2551" w:type="dxa"/>
            <w:vAlign w:val="center"/>
          </w:tcPr>
          <w:p>
            <w:pPr>
              <w:pStyle w:val="16"/>
            </w:pPr>
            <w:r>
              <w:t>指标值</w:t>
            </w:r>
          </w:p>
        </w:tc>
        <w:tc>
          <w:tcPr>
            <w:tcW w:w="2268"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产出指标</w:t>
            </w:r>
          </w:p>
        </w:tc>
        <w:tc>
          <w:tcPr>
            <w:tcW w:w="2268" w:type="dxa"/>
            <w:vAlign w:val="center"/>
          </w:tcPr>
          <w:p>
            <w:pPr>
              <w:pStyle w:val="18"/>
            </w:pPr>
            <w:r>
              <w:t>数量指标</w:t>
            </w:r>
          </w:p>
        </w:tc>
        <w:tc>
          <w:tcPr>
            <w:tcW w:w="2835" w:type="dxa"/>
            <w:vAlign w:val="center"/>
          </w:tcPr>
          <w:p>
            <w:pPr>
              <w:pStyle w:val="18"/>
            </w:pPr>
            <w:r>
              <w:t>废水和垃圾清运时间</w:t>
            </w:r>
          </w:p>
        </w:tc>
        <w:tc>
          <w:tcPr>
            <w:tcW w:w="2835" w:type="dxa"/>
            <w:vAlign w:val="center"/>
          </w:tcPr>
          <w:p>
            <w:pPr>
              <w:pStyle w:val="18"/>
            </w:pPr>
            <w:r>
              <w:t>全年清运</w:t>
            </w:r>
          </w:p>
        </w:tc>
        <w:tc>
          <w:tcPr>
            <w:tcW w:w="2551" w:type="dxa"/>
            <w:vAlign w:val="center"/>
          </w:tcPr>
          <w:p>
            <w:pPr>
              <w:pStyle w:val="18"/>
            </w:pPr>
            <w:r>
              <w:t>1年</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质量指标</w:t>
            </w:r>
          </w:p>
        </w:tc>
        <w:tc>
          <w:tcPr>
            <w:tcW w:w="2835" w:type="dxa"/>
            <w:vAlign w:val="center"/>
          </w:tcPr>
          <w:p>
            <w:pPr>
              <w:pStyle w:val="18"/>
            </w:pPr>
            <w:r>
              <w:t>废水和垃圾清运，此项工作的合格率</w:t>
            </w:r>
          </w:p>
        </w:tc>
        <w:tc>
          <w:tcPr>
            <w:tcW w:w="2835" w:type="dxa"/>
            <w:vAlign w:val="center"/>
          </w:tcPr>
          <w:p>
            <w:pPr>
              <w:pStyle w:val="18"/>
            </w:pPr>
            <w:r>
              <w:t>保障清运工作正常开展</w:t>
            </w:r>
          </w:p>
        </w:tc>
        <w:tc>
          <w:tcPr>
            <w:tcW w:w="2551" w:type="dxa"/>
            <w:vAlign w:val="center"/>
          </w:tcPr>
          <w:p>
            <w:pPr>
              <w:pStyle w:val="18"/>
            </w:pPr>
            <w:r>
              <w:t>100%</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时效指标</w:t>
            </w:r>
          </w:p>
        </w:tc>
        <w:tc>
          <w:tcPr>
            <w:tcW w:w="2835" w:type="dxa"/>
            <w:vAlign w:val="center"/>
          </w:tcPr>
          <w:p>
            <w:pPr>
              <w:pStyle w:val="18"/>
            </w:pPr>
            <w:r>
              <w:t>废水和垃圾清运，此项工作及时性</w:t>
            </w:r>
          </w:p>
        </w:tc>
        <w:tc>
          <w:tcPr>
            <w:tcW w:w="2835" w:type="dxa"/>
            <w:vAlign w:val="center"/>
          </w:tcPr>
          <w:p>
            <w:pPr>
              <w:pStyle w:val="18"/>
            </w:pPr>
            <w:r>
              <w:t>及时完成废水和垃圾清运工作</w:t>
            </w:r>
          </w:p>
        </w:tc>
        <w:tc>
          <w:tcPr>
            <w:tcW w:w="2551" w:type="dxa"/>
            <w:vAlign w:val="center"/>
          </w:tcPr>
          <w:p>
            <w:pPr>
              <w:pStyle w:val="18"/>
            </w:pPr>
            <w:r>
              <w:t>按计划及时完成工作</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成本指标</w:t>
            </w:r>
          </w:p>
        </w:tc>
        <w:tc>
          <w:tcPr>
            <w:tcW w:w="2835" w:type="dxa"/>
            <w:vAlign w:val="center"/>
          </w:tcPr>
          <w:p>
            <w:pPr>
              <w:pStyle w:val="18"/>
            </w:pPr>
            <w:r>
              <w:t>成本控制</w:t>
            </w:r>
          </w:p>
        </w:tc>
        <w:tc>
          <w:tcPr>
            <w:tcW w:w="2835" w:type="dxa"/>
            <w:vAlign w:val="center"/>
          </w:tcPr>
          <w:p>
            <w:pPr>
              <w:pStyle w:val="18"/>
            </w:pPr>
            <w:r>
              <w:t>项目成本控制在预算范围之内</w:t>
            </w:r>
          </w:p>
        </w:tc>
        <w:tc>
          <w:tcPr>
            <w:tcW w:w="2551" w:type="dxa"/>
            <w:vAlign w:val="center"/>
          </w:tcPr>
          <w:p>
            <w:pPr>
              <w:pStyle w:val="18"/>
            </w:pPr>
            <w:r>
              <w:t>≤10万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效益指标</w:t>
            </w:r>
          </w:p>
        </w:tc>
        <w:tc>
          <w:tcPr>
            <w:tcW w:w="2268" w:type="dxa"/>
            <w:vAlign w:val="center"/>
          </w:tcPr>
          <w:p>
            <w:pPr>
              <w:pStyle w:val="18"/>
            </w:pPr>
            <w:r>
              <w:t>社会效益指标</w:t>
            </w:r>
          </w:p>
        </w:tc>
        <w:tc>
          <w:tcPr>
            <w:tcW w:w="2835" w:type="dxa"/>
            <w:vAlign w:val="center"/>
          </w:tcPr>
          <w:p>
            <w:pPr>
              <w:pStyle w:val="18"/>
            </w:pPr>
            <w:r>
              <w:t>提高政务服务办事效率</w:t>
            </w:r>
          </w:p>
        </w:tc>
        <w:tc>
          <w:tcPr>
            <w:tcW w:w="2835" w:type="dxa"/>
            <w:vAlign w:val="center"/>
          </w:tcPr>
          <w:p>
            <w:pPr>
              <w:pStyle w:val="18"/>
            </w:pPr>
            <w:r>
              <w:t>处理业务及时、高效、服务群众</w:t>
            </w:r>
          </w:p>
        </w:tc>
        <w:tc>
          <w:tcPr>
            <w:tcW w:w="2551" w:type="dxa"/>
            <w:vAlign w:val="center"/>
          </w:tcPr>
          <w:p>
            <w:pPr>
              <w:pStyle w:val="18"/>
            </w:pPr>
            <w:r>
              <w:t>比上一年度提升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可持续影响指标</w:t>
            </w:r>
          </w:p>
        </w:tc>
        <w:tc>
          <w:tcPr>
            <w:tcW w:w="2835" w:type="dxa"/>
            <w:vAlign w:val="center"/>
          </w:tcPr>
          <w:p>
            <w:pPr>
              <w:pStyle w:val="18"/>
            </w:pPr>
            <w:r>
              <w:t>完善制度及实施方案健全程度</w:t>
            </w:r>
          </w:p>
        </w:tc>
        <w:tc>
          <w:tcPr>
            <w:tcW w:w="2835" w:type="dxa"/>
            <w:vAlign w:val="center"/>
          </w:tcPr>
          <w:p>
            <w:pPr>
              <w:pStyle w:val="18"/>
            </w:pPr>
            <w:r>
              <w:t>以后年度项目持续实施是否具备健全的制度保障</w:t>
            </w:r>
          </w:p>
        </w:tc>
        <w:tc>
          <w:tcPr>
            <w:tcW w:w="2551" w:type="dxa"/>
            <w:vAlign w:val="center"/>
          </w:tcPr>
          <w:p>
            <w:pPr>
              <w:pStyle w:val="18"/>
            </w:pPr>
            <w:r>
              <w:t>健全</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9"/>
            </w:pPr>
            <w:r>
              <w:t>满意度指标</w:t>
            </w:r>
          </w:p>
        </w:tc>
        <w:tc>
          <w:tcPr>
            <w:tcW w:w="2268" w:type="dxa"/>
            <w:vAlign w:val="center"/>
          </w:tcPr>
          <w:p>
            <w:pPr>
              <w:pStyle w:val="18"/>
            </w:pPr>
            <w:r>
              <w:t>服务对象满意度指标</w:t>
            </w:r>
          </w:p>
        </w:tc>
        <w:tc>
          <w:tcPr>
            <w:tcW w:w="2835" w:type="dxa"/>
            <w:vAlign w:val="center"/>
          </w:tcPr>
          <w:p>
            <w:pPr>
              <w:pStyle w:val="18"/>
            </w:pPr>
            <w:r>
              <w:t>办事群众对象满意度</w:t>
            </w:r>
          </w:p>
        </w:tc>
        <w:tc>
          <w:tcPr>
            <w:tcW w:w="2835" w:type="dxa"/>
            <w:vAlign w:val="center"/>
          </w:tcPr>
          <w:p>
            <w:pPr>
              <w:pStyle w:val="18"/>
            </w:pPr>
            <w:r>
              <w:t>调查中满意和较满意的群众人数占调查总人数的比率</w:t>
            </w:r>
          </w:p>
        </w:tc>
        <w:tc>
          <w:tcPr>
            <w:tcW w:w="2551" w:type="dxa"/>
            <w:vAlign w:val="center"/>
          </w:tcPr>
          <w:p>
            <w:pPr>
              <w:pStyle w:val="18"/>
            </w:pPr>
            <w:r>
              <w:t>≥90%</w:t>
            </w:r>
          </w:p>
        </w:tc>
        <w:tc>
          <w:tcPr>
            <w:tcW w:w="2268" w:type="dxa"/>
            <w:vAlign w:val="center"/>
          </w:tcPr>
          <w:p>
            <w:pPr>
              <w:pStyle w:val="18"/>
            </w:pPr>
            <w:r>
              <w:t>调查问卷</w:t>
            </w:r>
          </w:p>
        </w:tc>
      </w:tr>
    </w:tbl>
    <w:p>
      <w:pPr>
        <w:sectPr>
          <w:pgSz w:w="16840" w:h="11900" w:orient="landscape"/>
          <w:pgMar w:top="1361" w:right="1020" w:bottom="1134" w:left="1020" w:header="720" w:footer="720" w:gutter="0"/>
          <w:cols w:space="720" w:num="1"/>
        </w:sectPr>
      </w:pPr>
    </w:p>
    <w:p>
      <w:pPr>
        <w:ind w:firstLine="560"/>
      </w:pPr>
      <w:r>
        <w:rPr>
          <w:rFonts w:ascii="方正仿宋_GBK" w:hAnsi="方正仿宋_GBK" w:eastAsia="方正仿宋_GBK" w:cs="方正仿宋_GBK"/>
          <w:b/>
          <w:color w:val="000000"/>
          <w:sz w:val="28"/>
        </w:rPr>
        <w:t>2、房屋租赁费绩效目标表</w:t>
      </w:r>
    </w:p>
    <w:tbl>
      <w:tblPr>
        <w:tblStyle w:val="8"/>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6"/>
            </w:pPr>
            <w:r>
              <w:t>绩效目标</w:t>
            </w:r>
          </w:p>
        </w:tc>
        <w:tc>
          <w:tcPr>
            <w:tcW w:w="12756" w:type="dxa"/>
            <w:tcBorders>
              <w:bottom w:val="single" w:color="FFFFFF" w:sz="6" w:space="0"/>
            </w:tcBorders>
            <w:vAlign w:val="center"/>
          </w:tcPr>
          <w:p>
            <w:pPr>
              <w:pStyle w:val="18"/>
            </w:pPr>
            <w:r>
              <w:t>1.按合同约定支付资金，满足机关办公用房需求。</w:t>
            </w:r>
          </w:p>
          <w:p>
            <w:pPr>
              <w:pStyle w:val="18"/>
            </w:pPr>
            <w:r>
              <w:t>2.提高政务服务水平，方便群众办事，群众满意度增加。</w:t>
            </w:r>
          </w:p>
          <w:p>
            <w:pPr>
              <w:pStyle w:val="18"/>
            </w:pPr>
            <w:r>
              <w:t>3.优化服务，提供良好的办公环境。</w:t>
            </w:r>
          </w:p>
        </w:tc>
      </w:tr>
    </w:tbl>
    <w:p>
      <w:pPr>
        <w:spacing w:line="2" w:lineRule="exact"/>
        <w:jc w:val="cente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6"/>
            </w:pPr>
            <w:r>
              <w:t>一级指标</w:t>
            </w:r>
          </w:p>
        </w:tc>
        <w:tc>
          <w:tcPr>
            <w:tcW w:w="2268" w:type="dxa"/>
            <w:vAlign w:val="center"/>
          </w:tcPr>
          <w:p>
            <w:pPr>
              <w:pStyle w:val="16"/>
            </w:pPr>
            <w:r>
              <w:t>二级指标</w:t>
            </w:r>
          </w:p>
        </w:tc>
        <w:tc>
          <w:tcPr>
            <w:tcW w:w="2835" w:type="dxa"/>
            <w:vAlign w:val="center"/>
          </w:tcPr>
          <w:p>
            <w:pPr>
              <w:pStyle w:val="16"/>
            </w:pPr>
            <w:r>
              <w:t>三级指标</w:t>
            </w:r>
          </w:p>
        </w:tc>
        <w:tc>
          <w:tcPr>
            <w:tcW w:w="2835" w:type="dxa"/>
            <w:vAlign w:val="center"/>
          </w:tcPr>
          <w:p>
            <w:pPr>
              <w:pStyle w:val="16"/>
            </w:pPr>
            <w:r>
              <w:t>绩效指标描述</w:t>
            </w:r>
          </w:p>
        </w:tc>
        <w:tc>
          <w:tcPr>
            <w:tcW w:w="2551" w:type="dxa"/>
            <w:vAlign w:val="center"/>
          </w:tcPr>
          <w:p>
            <w:pPr>
              <w:pStyle w:val="16"/>
            </w:pPr>
            <w:r>
              <w:t>指标值</w:t>
            </w:r>
          </w:p>
        </w:tc>
        <w:tc>
          <w:tcPr>
            <w:tcW w:w="2268"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产出指标</w:t>
            </w:r>
          </w:p>
        </w:tc>
        <w:tc>
          <w:tcPr>
            <w:tcW w:w="2268" w:type="dxa"/>
            <w:vAlign w:val="center"/>
          </w:tcPr>
          <w:p>
            <w:pPr>
              <w:pStyle w:val="18"/>
            </w:pPr>
            <w:r>
              <w:t>数量指标</w:t>
            </w:r>
          </w:p>
        </w:tc>
        <w:tc>
          <w:tcPr>
            <w:tcW w:w="2835" w:type="dxa"/>
            <w:vAlign w:val="center"/>
          </w:tcPr>
          <w:p>
            <w:pPr>
              <w:pStyle w:val="18"/>
            </w:pPr>
            <w:r>
              <w:t>办公场所数量</w:t>
            </w:r>
          </w:p>
        </w:tc>
        <w:tc>
          <w:tcPr>
            <w:tcW w:w="2835" w:type="dxa"/>
            <w:vAlign w:val="center"/>
          </w:tcPr>
          <w:p>
            <w:pPr>
              <w:pStyle w:val="18"/>
            </w:pPr>
            <w:r>
              <w:t>办公场所数量</w:t>
            </w:r>
          </w:p>
        </w:tc>
        <w:tc>
          <w:tcPr>
            <w:tcW w:w="2551" w:type="dxa"/>
            <w:vAlign w:val="center"/>
          </w:tcPr>
          <w:p>
            <w:pPr>
              <w:pStyle w:val="18"/>
            </w:pPr>
            <w:r>
              <w:t>1个</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质量指标</w:t>
            </w:r>
          </w:p>
        </w:tc>
        <w:tc>
          <w:tcPr>
            <w:tcW w:w="2835" w:type="dxa"/>
            <w:vAlign w:val="center"/>
          </w:tcPr>
          <w:p>
            <w:pPr>
              <w:pStyle w:val="18"/>
            </w:pPr>
            <w:r>
              <w:t>项目合格率</w:t>
            </w:r>
          </w:p>
        </w:tc>
        <w:tc>
          <w:tcPr>
            <w:tcW w:w="2835" w:type="dxa"/>
            <w:vAlign w:val="center"/>
          </w:tcPr>
          <w:p>
            <w:pPr>
              <w:pStyle w:val="18"/>
            </w:pPr>
            <w:r>
              <w:t>符合招标文件与合同约定的标准</w:t>
            </w:r>
          </w:p>
        </w:tc>
        <w:tc>
          <w:tcPr>
            <w:tcW w:w="2551" w:type="dxa"/>
            <w:vAlign w:val="center"/>
          </w:tcPr>
          <w:p>
            <w:pPr>
              <w:pStyle w:val="18"/>
            </w:pPr>
            <w:r>
              <w:t>100%</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时效指标</w:t>
            </w:r>
          </w:p>
        </w:tc>
        <w:tc>
          <w:tcPr>
            <w:tcW w:w="2835" w:type="dxa"/>
            <w:vAlign w:val="center"/>
          </w:tcPr>
          <w:p>
            <w:pPr>
              <w:pStyle w:val="18"/>
            </w:pPr>
            <w:r>
              <w:t>项目完成及时性</w:t>
            </w:r>
          </w:p>
        </w:tc>
        <w:tc>
          <w:tcPr>
            <w:tcW w:w="2835" w:type="dxa"/>
            <w:vAlign w:val="center"/>
          </w:tcPr>
          <w:p>
            <w:pPr>
              <w:pStyle w:val="18"/>
            </w:pPr>
            <w:r>
              <w:t>按计划及时完成工作</w:t>
            </w:r>
          </w:p>
        </w:tc>
        <w:tc>
          <w:tcPr>
            <w:tcW w:w="2551" w:type="dxa"/>
            <w:vAlign w:val="center"/>
          </w:tcPr>
          <w:p>
            <w:pPr>
              <w:pStyle w:val="18"/>
            </w:pPr>
            <w:r>
              <w:t>及时完成</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成本指标</w:t>
            </w:r>
          </w:p>
        </w:tc>
        <w:tc>
          <w:tcPr>
            <w:tcW w:w="2835" w:type="dxa"/>
            <w:vAlign w:val="center"/>
          </w:tcPr>
          <w:p>
            <w:pPr>
              <w:pStyle w:val="18"/>
            </w:pPr>
            <w:r>
              <w:t>项目成本控制</w:t>
            </w:r>
          </w:p>
        </w:tc>
        <w:tc>
          <w:tcPr>
            <w:tcW w:w="2835" w:type="dxa"/>
            <w:vAlign w:val="center"/>
          </w:tcPr>
          <w:p>
            <w:pPr>
              <w:pStyle w:val="18"/>
            </w:pPr>
            <w:r>
              <w:t>控制在预算范围之内</w:t>
            </w:r>
          </w:p>
        </w:tc>
        <w:tc>
          <w:tcPr>
            <w:tcW w:w="2551" w:type="dxa"/>
            <w:vAlign w:val="center"/>
          </w:tcPr>
          <w:p>
            <w:pPr>
              <w:pStyle w:val="18"/>
            </w:pPr>
            <w:r>
              <w:t>≤420万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效益指标</w:t>
            </w:r>
          </w:p>
        </w:tc>
        <w:tc>
          <w:tcPr>
            <w:tcW w:w="2268" w:type="dxa"/>
            <w:vAlign w:val="center"/>
          </w:tcPr>
          <w:p>
            <w:pPr>
              <w:pStyle w:val="18"/>
            </w:pPr>
            <w:r>
              <w:t>社会效益指标</w:t>
            </w:r>
          </w:p>
        </w:tc>
        <w:tc>
          <w:tcPr>
            <w:tcW w:w="2835" w:type="dxa"/>
            <w:vAlign w:val="center"/>
          </w:tcPr>
          <w:p>
            <w:pPr>
              <w:pStyle w:val="18"/>
            </w:pPr>
            <w:r>
              <w:t>　提高政务服务办事效率</w:t>
            </w:r>
          </w:p>
        </w:tc>
        <w:tc>
          <w:tcPr>
            <w:tcW w:w="2835" w:type="dxa"/>
            <w:vAlign w:val="center"/>
          </w:tcPr>
          <w:p>
            <w:pPr>
              <w:pStyle w:val="18"/>
            </w:pPr>
            <w:r>
              <w:t>处理业务及时、高效、服务群众　</w:t>
            </w:r>
          </w:p>
        </w:tc>
        <w:tc>
          <w:tcPr>
            <w:tcW w:w="2551" w:type="dxa"/>
            <w:vAlign w:val="center"/>
          </w:tcPr>
          <w:p>
            <w:pPr>
              <w:pStyle w:val="18"/>
            </w:pPr>
            <w:r>
              <w:t>　比上一年度提升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可持续影响指标</w:t>
            </w:r>
          </w:p>
        </w:tc>
        <w:tc>
          <w:tcPr>
            <w:tcW w:w="2835" w:type="dxa"/>
            <w:vAlign w:val="center"/>
          </w:tcPr>
          <w:p>
            <w:pPr>
              <w:pStyle w:val="18"/>
            </w:pPr>
            <w:r>
              <w:t>完善制度及实施方案健全程度</w:t>
            </w:r>
          </w:p>
        </w:tc>
        <w:tc>
          <w:tcPr>
            <w:tcW w:w="2835" w:type="dxa"/>
            <w:vAlign w:val="center"/>
          </w:tcPr>
          <w:p>
            <w:pPr>
              <w:pStyle w:val="18"/>
            </w:pPr>
            <w:r>
              <w:t>以后年度项目持续实施是否具备健全的制度保障</w:t>
            </w:r>
          </w:p>
        </w:tc>
        <w:tc>
          <w:tcPr>
            <w:tcW w:w="2551" w:type="dxa"/>
            <w:vAlign w:val="center"/>
          </w:tcPr>
          <w:p>
            <w:pPr>
              <w:pStyle w:val="18"/>
            </w:pPr>
            <w:r>
              <w:t>健全</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9"/>
            </w:pPr>
            <w:r>
              <w:t>满意度指标</w:t>
            </w:r>
          </w:p>
        </w:tc>
        <w:tc>
          <w:tcPr>
            <w:tcW w:w="2268" w:type="dxa"/>
            <w:vAlign w:val="center"/>
          </w:tcPr>
          <w:p>
            <w:pPr>
              <w:pStyle w:val="18"/>
            </w:pPr>
            <w:r>
              <w:t>服务对象满意度指标</w:t>
            </w:r>
          </w:p>
        </w:tc>
        <w:tc>
          <w:tcPr>
            <w:tcW w:w="2835" w:type="dxa"/>
            <w:vAlign w:val="center"/>
          </w:tcPr>
          <w:p>
            <w:pPr>
              <w:pStyle w:val="18"/>
            </w:pPr>
            <w:r>
              <w:t>办事群众对象满意度</w:t>
            </w:r>
          </w:p>
        </w:tc>
        <w:tc>
          <w:tcPr>
            <w:tcW w:w="2835" w:type="dxa"/>
            <w:vAlign w:val="center"/>
          </w:tcPr>
          <w:p>
            <w:pPr>
              <w:pStyle w:val="18"/>
            </w:pPr>
            <w:r>
              <w:t>调查中满意和较满意的群众人数占调查总人数的比率</w:t>
            </w:r>
          </w:p>
        </w:tc>
        <w:tc>
          <w:tcPr>
            <w:tcW w:w="2551" w:type="dxa"/>
            <w:vAlign w:val="center"/>
          </w:tcPr>
          <w:p>
            <w:pPr>
              <w:pStyle w:val="18"/>
            </w:pPr>
            <w:r>
              <w:t>≥90%</w:t>
            </w:r>
          </w:p>
        </w:tc>
        <w:tc>
          <w:tcPr>
            <w:tcW w:w="2268" w:type="dxa"/>
            <w:vAlign w:val="center"/>
          </w:tcPr>
          <w:p>
            <w:pPr>
              <w:pStyle w:val="18"/>
            </w:pPr>
            <w:r>
              <w:t>调查问卷</w:t>
            </w:r>
          </w:p>
        </w:tc>
      </w:tr>
    </w:tbl>
    <w:p>
      <w:pPr>
        <w:sectPr>
          <w:pgSz w:w="16840" w:h="11900" w:orient="landscape"/>
          <w:pgMar w:top="1361" w:right="1020" w:bottom="1134" w:left="1020" w:header="720" w:footer="720" w:gutter="0"/>
          <w:cols w:space="720" w:num="1"/>
        </w:sectPr>
      </w:pPr>
    </w:p>
    <w:p>
      <w:pPr>
        <w:ind w:firstLine="560"/>
      </w:pPr>
      <w:r>
        <w:rPr>
          <w:rFonts w:ascii="方正仿宋_GBK" w:hAnsi="方正仿宋_GBK" w:eastAsia="方正仿宋_GBK" w:cs="方正仿宋_GBK"/>
          <w:b/>
          <w:color w:val="000000"/>
          <w:sz w:val="28"/>
        </w:rPr>
        <w:t>3、公共资源交易中心工作经费绩效目标表</w:t>
      </w:r>
    </w:p>
    <w:tbl>
      <w:tblPr>
        <w:tblStyle w:val="8"/>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6"/>
            </w:pPr>
            <w:r>
              <w:t>绩效目标</w:t>
            </w:r>
          </w:p>
        </w:tc>
        <w:tc>
          <w:tcPr>
            <w:tcW w:w="12756" w:type="dxa"/>
            <w:tcBorders>
              <w:bottom w:val="single" w:color="FFFFFF" w:sz="6" w:space="0"/>
            </w:tcBorders>
            <w:vAlign w:val="center"/>
          </w:tcPr>
          <w:p>
            <w:pPr>
              <w:pStyle w:val="18"/>
            </w:pPr>
            <w:r>
              <w:t>1.为公共资源交易活动提供场地、信息、政策、咨询等服务，发布交易信息、中标公告，安排开评标时间、场所。</w:t>
            </w:r>
          </w:p>
          <w:p>
            <w:pPr>
              <w:pStyle w:val="18"/>
            </w:pPr>
            <w:r>
              <w:t>2.负责公共资源交易网络的日常运行和维护；负责交易大厅、开评标场所秩序的监管。</w:t>
            </w:r>
          </w:p>
          <w:p>
            <w:pPr>
              <w:pStyle w:val="18"/>
            </w:pPr>
            <w:r>
              <w:t>3.负责公共资源交易过程中法律咨询服务工作，负责公共资源交易会计工作等。</w:t>
            </w:r>
          </w:p>
        </w:tc>
      </w:tr>
    </w:tbl>
    <w:p>
      <w:pPr>
        <w:spacing w:line="2" w:lineRule="exact"/>
        <w:jc w:val="cente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6"/>
            </w:pPr>
            <w:r>
              <w:t>一级指标</w:t>
            </w:r>
          </w:p>
        </w:tc>
        <w:tc>
          <w:tcPr>
            <w:tcW w:w="2268" w:type="dxa"/>
            <w:vAlign w:val="center"/>
          </w:tcPr>
          <w:p>
            <w:pPr>
              <w:pStyle w:val="16"/>
            </w:pPr>
            <w:r>
              <w:t>二级指标</w:t>
            </w:r>
          </w:p>
        </w:tc>
        <w:tc>
          <w:tcPr>
            <w:tcW w:w="2835" w:type="dxa"/>
            <w:vAlign w:val="center"/>
          </w:tcPr>
          <w:p>
            <w:pPr>
              <w:pStyle w:val="16"/>
            </w:pPr>
            <w:r>
              <w:t>三级指标</w:t>
            </w:r>
          </w:p>
        </w:tc>
        <w:tc>
          <w:tcPr>
            <w:tcW w:w="2835" w:type="dxa"/>
            <w:vAlign w:val="center"/>
          </w:tcPr>
          <w:p>
            <w:pPr>
              <w:pStyle w:val="16"/>
            </w:pPr>
            <w:r>
              <w:t>绩效指标描述</w:t>
            </w:r>
          </w:p>
        </w:tc>
        <w:tc>
          <w:tcPr>
            <w:tcW w:w="2551" w:type="dxa"/>
            <w:vAlign w:val="center"/>
          </w:tcPr>
          <w:p>
            <w:pPr>
              <w:pStyle w:val="16"/>
            </w:pPr>
            <w:r>
              <w:t>指标值</w:t>
            </w:r>
          </w:p>
        </w:tc>
        <w:tc>
          <w:tcPr>
            <w:tcW w:w="2268"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产出指标</w:t>
            </w:r>
          </w:p>
        </w:tc>
        <w:tc>
          <w:tcPr>
            <w:tcW w:w="2268" w:type="dxa"/>
            <w:vAlign w:val="center"/>
          </w:tcPr>
          <w:p>
            <w:pPr>
              <w:pStyle w:val="18"/>
            </w:pPr>
            <w:r>
              <w:t>数量指标</w:t>
            </w:r>
          </w:p>
        </w:tc>
        <w:tc>
          <w:tcPr>
            <w:tcW w:w="2835" w:type="dxa"/>
            <w:vAlign w:val="center"/>
          </w:tcPr>
          <w:p>
            <w:pPr>
              <w:pStyle w:val="18"/>
            </w:pPr>
            <w:r>
              <w:t>交易中心工作正常运行时间</w:t>
            </w:r>
          </w:p>
        </w:tc>
        <w:tc>
          <w:tcPr>
            <w:tcW w:w="2835" w:type="dxa"/>
            <w:vAlign w:val="center"/>
          </w:tcPr>
          <w:p>
            <w:pPr>
              <w:pStyle w:val="18"/>
            </w:pPr>
            <w:r>
              <w:t>交易中心工作正常运行时间</w:t>
            </w:r>
          </w:p>
        </w:tc>
        <w:tc>
          <w:tcPr>
            <w:tcW w:w="2551" w:type="dxa"/>
            <w:vAlign w:val="center"/>
          </w:tcPr>
          <w:p>
            <w:pPr>
              <w:pStyle w:val="18"/>
            </w:pPr>
            <w:r>
              <w:t>1年</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质量指标</w:t>
            </w:r>
          </w:p>
        </w:tc>
        <w:tc>
          <w:tcPr>
            <w:tcW w:w="2835" w:type="dxa"/>
            <w:vAlign w:val="center"/>
          </w:tcPr>
          <w:p>
            <w:pPr>
              <w:pStyle w:val="18"/>
            </w:pPr>
            <w:r>
              <w:t>交易中心运行工作完成合格率</w:t>
            </w:r>
          </w:p>
        </w:tc>
        <w:tc>
          <w:tcPr>
            <w:tcW w:w="2835" w:type="dxa"/>
            <w:vAlign w:val="center"/>
          </w:tcPr>
          <w:p>
            <w:pPr>
              <w:pStyle w:val="18"/>
            </w:pPr>
            <w:r>
              <w:t>交易中心运行工作完成合格率</w:t>
            </w:r>
          </w:p>
        </w:tc>
        <w:tc>
          <w:tcPr>
            <w:tcW w:w="2551" w:type="dxa"/>
            <w:vAlign w:val="center"/>
          </w:tcPr>
          <w:p>
            <w:pPr>
              <w:pStyle w:val="18"/>
            </w:pPr>
            <w:r>
              <w:t>100%</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时效指标</w:t>
            </w:r>
          </w:p>
        </w:tc>
        <w:tc>
          <w:tcPr>
            <w:tcW w:w="2835" w:type="dxa"/>
            <w:vAlign w:val="center"/>
          </w:tcPr>
          <w:p>
            <w:pPr>
              <w:pStyle w:val="18"/>
            </w:pPr>
            <w:r>
              <w:t>交易中心运行工作完成及时性</w:t>
            </w:r>
          </w:p>
        </w:tc>
        <w:tc>
          <w:tcPr>
            <w:tcW w:w="2835" w:type="dxa"/>
            <w:vAlign w:val="center"/>
          </w:tcPr>
          <w:p>
            <w:pPr>
              <w:pStyle w:val="18"/>
            </w:pPr>
            <w:r>
              <w:t>交易中心运行工作完成及时性</w:t>
            </w:r>
          </w:p>
        </w:tc>
        <w:tc>
          <w:tcPr>
            <w:tcW w:w="2551" w:type="dxa"/>
            <w:vAlign w:val="center"/>
          </w:tcPr>
          <w:p>
            <w:pPr>
              <w:pStyle w:val="18"/>
            </w:pPr>
            <w:r>
              <w:t>按计划及时完成工作</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成本指标</w:t>
            </w:r>
          </w:p>
        </w:tc>
        <w:tc>
          <w:tcPr>
            <w:tcW w:w="2835" w:type="dxa"/>
            <w:vAlign w:val="center"/>
          </w:tcPr>
          <w:p>
            <w:pPr>
              <w:pStyle w:val="18"/>
            </w:pPr>
            <w:r>
              <w:t>项目成本控制</w:t>
            </w:r>
          </w:p>
        </w:tc>
        <w:tc>
          <w:tcPr>
            <w:tcW w:w="2835" w:type="dxa"/>
            <w:vAlign w:val="center"/>
          </w:tcPr>
          <w:p>
            <w:pPr>
              <w:pStyle w:val="18"/>
            </w:pPr>
            <w:r>
              <w:t>项目成本控制在预算范围之内</w:t>
            </w:r>
          </w:p>
        </w:tc>
        <w:tc>
          <w:tcPr>
            <w:tcW w:w="2551" w:type="dxa"/>
            <w:vAlign w:val="center"/>
          </w:tcPr>
          <w:p>
            <w:pPr>
              <w:pStyle w:val="18"/>
            </w:pPr>
            <w:r>
              <w:t>≤10万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效益指标</w:t>
            </w:r>
          </w:p>
        </w:tc>
        <w:tc>
          <w:tcPr>
            <w:tcW w:w="2268" w:type="dxa"/>
            <w:vAlign w:val="center"/>
          </w:tcPr>
          <w:p>
            <w:pPr>
              <w:pStyle w:val="18"/>
            </w:pPr>
            <w:r>
              <w:t>社会效益指标</w:t>
            </w:r>
          </w:p>
        </w:tc>
        <w:tc>
          <w:tcPr>
            <w:tcW w:w="2835" w:type="dxa"/>
            <w:vAlign w:val="center"/>
          </w:tcPr>
          <w:p>
            <w:pPr>
              <w:pStyle w:val="18"/>
            </w:pPr>
            <w:r>
              <w:t>提高政务服务办事效率</w:t>
            </w:r>
          </w:p>
        </w:tc>
        <w:tc>
          <w:tcPr>
            <w:tcW w:w="2835" w:type="dxa"/>
            <w:vAlign w:val="center"/>
          </w:tcPr>
          <w:p>
            <w:pPr>
              <w:pStyle w:val="18"/>
            </w:pPr>
            <w:r>
              <w:t>处理业务及时、高效、服务群众</w:t>
            </w:r>
          </w:p>
        </w:tc>
        <w:tc>
          <w:tcPr>
            <w:tcW w:w="2551" w:type="dxa"/>
            <w:vAlign w:val="center"/>
          </w:tcPr>
          <w:p>
            <w:pPr>
              <w:pStyle w:val="18"/>
            </w:pPr>
            <w:r>
              <w:t>比上一年度提升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可持续影响指标</w:t>
            </w:r>
          </w:p>
        </w:tc>
        <w:tc>
          <w:tcPr>
            <w:tcW w:w="2835" w:type="dxa"/>
            <w:vAlign w:val="center"/>
          </w:tcPr>
          <w:p>
            <w:pPr>
              <w:pStyle w:val="18"/>
            </w:pPr>
            <w:r>
              <w:t>完善制度及实施方案健全程度</w:t>
            </w:r>
          </w:p>
        </w:tc>
        <w:tc>
          <w:tcPr>
            <w:tcW w:w="2835" w:type="dxa"/>
            <w:vAlign w:val="center"/>
          </w:tcPr>
          <w:p>
            <w:pPr>
              <w:pStyle w:val="18"/>
            </w:pPr>
            <w:r>
              <w:t>以后年度项目持续实施是否具备健全的制度保障</w:t>
            </w:r>
          </w:p>
        </w:tc>
        <w:tc>
          <w:tcPr>
            <w:tcW w:w="2551" w:type="dxa"/>
            <w:vAlign w:val="center"/>
          </w:tcPr>
          <w:p>
            <w:pPr>
              <w:pStyle w:val="18"/>
            </w:pPr>
            <w:r>
              <w:t>健全</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9"/>
            </w:pPr>
            <w:r>
              <w:t>满意度指标</w:t>
            </w:r>
          </w:p>
        </w:tc>
        <w:tc>
          <w:tcPr>
            <w:tcW w:w="2268" w:type="dxa"/>
            <w:vAlign w:val="center"/>
          </w:tcPr>
          <w:p>
            <w:pPr>
              <w:pStyle w:val="18"/>
            </w:pPr>
            <w:r>
              <w:t>服务对象满意度指标</w:t>
            </w:r>
          </w:p>
        </w:tc>
        <w:tc>
          <w:tcPr>
            <w:tcW w:w="2835" w:type="dxa"/>
            <w:vAlign w:val="center"/>
          </w:tcPr>
          <w:p>
            <w:pPr>
              <w:pStyle w:val="18"/>
            </w:pPr>
            <w:r>
              <w:t>办事群众对象满意度</w:t>
            </w:r>
          </w:p>
        </w:tc>
        <w:tc>
          <w:tcPr>
            <w:tcW w:w="2835" w:type="dxa"/>
            <w:vAlign w:val="center"/>
          </w:tcPr>
          <w:p>
            <w:pPr>
              <w:pStyle w:val="18"/>
            </w:pPr>
            <w:r>
              <w:t>调查中满意和较满意的群众人数占调查总人数的比率</w:t>
            </w:r>
          </w:p>
        </w:tc>
        <w:tc>
          <w:tcPr>
            <w:tcW w:w="2551" w:type="dxa"/>
            <w:vAlign w:val="center"/>
          </w:tcPr>
          <w:p>
            <w:pPr>
              <w:pStyle w:val="18"/>
            </w:pPr>
            <w:r>
              <w:t>≥90%</w:t>
            </w:r>
          </w:p>
        </w:tc>
        <w:tc>
          <w:tcPr>
            <w:tcW w:w="2268" w:type="dxa"/>
            <w:vAlign w:val="center"/>
          </w:tcPr>
          <w:p>
            <w:pPr>
              <w:pStyle w:val="18"/>
            </w:pPr>
            <w:r>
              <w:t>调查问卷</w:t>
            </w:r>
          </w:p>
        </w:tc>
      </w:tr>
    </w:tbl>
    <w:p>
      <w:pPr>
        <w:sectPr>
          <w:pgSz w:w="16840" w:h="11900" w:orient="landscape"/>
          <w:pgMar w:top="1361" w:right="1020" w:bottom="1134" w:left="1020" w:header="720" w:footer="720" w:gutter="0"/>
          <w:cols w:space="720" w:num="1"/>
        </w:sectPr>
      </w:pPr>
    </w:p>
    <w:p>
      <w:pPr>
        <w:ind w:firstLine="560"/>
      </w:pPr>
      <w:r>
        <w:rPr>
          <w:rFonts w:ascii="方正仿宋_GBK" w:hAnsi="方正仿宋_GBK" w:eastAsia="方正仿宋_GBK" w:cs="方正仿宋_GBK"/>
          <w:b/>
          <w:color w:val="000000"/>
          <w:sz w:val="28"/>
        </w:rPr>
        <w:t>4、机关运行经费（运转保障）绩效目标表</w:t>
      </w:r>
    </w:p>
    <w:tbl>
      <w:tblPr>
        <w:tblStyle w:val="8"/>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6"/>
            </w:pPr>
            <w:r>
              <w:t>绩效目标</w:t>
            </w:r>
          </w:p>
        </w:tc>
        <w:tc>
          <w:tcPr>
            <w:tcW w:w="12756" w:type="dxa"/>
            <w:tcBorders>
              <w:bottom w:val="single" w:color="FFFFFF" w:sz="6" w:space="0"/>
            </w:tcBorders>
            <w:vAlign w:val="center"/>
          </w:tcPr>
          <w:p>
            <w:pPr>
              <w:pStyle w:val="18"/>
            </w:pPr>
            <w:r>
              <w:t>1.提高政务服务水平，方便群众办事，群众满意度增加。</w:t>
            </w:r>
          </w:p>
          <w:p>
            <w:pPr>
              <w:pStyle w:val="18"/>
            </w:pPr>
            <w:r>
              <w:t>2.保证机关日常正常运转。</w:t>
            </w:r>
          </w:p>
          <w:p>
            <w:pPr>
              <w:pStyle w:val="18"/>
            </w:pPr>
            <w:r>
              <w:t>3.改善办公环境，提高工作效率。</w:t>
            </w:r>
          </w:p>
        </w:tc>
      </w:tr>
    </w:tbl>
    <w:p>
      <w:pPr>
        <w:spacing w:line="2" w:lineRule="exact"/>
        <w:jc w:val="cente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6"/>
            </w:pPr>
            <w:r>
              <w:t>一级指标</w:t>
            </w:r>
          </w:p>
        </w:tc>
        <w:tc>
          <w:tcPr>
            <w:tcW w:w="2268" w:type="dxa"/>
            <w:vAlign w:val="center"/>
          </w:tcPr>
          <w:p>
            <w:pPr>
              <w:pStyle w:val="16"/>
            </w:pPr>
            <w:r>
              <w:t>二级指标</w:t>
            </w:r>
          </w:p>
        </w:tc>
        <w:tc>
          <w:tcPr>
            <w:tcW w:w="2835" w:type="dxa"/>
            <w:vAlign w:val="center"/>
          </w:tcPr>
          <w:p>
            <w:pPr>
              <w:pStyle w:val="16"/>
            </w:pPr>
            <w:r>
              <w:t>三级指标</w:t>
            </w:r>
          </w:p>
        </w:tc>
        <w:tc>
          <w:tcPr>
            <w:tcW w:w="2835" w:type="dxa"/>
            <w:vAlign w:val="center"/>
          </w:tcPr>
          <w:p>
            <w:pPr>
              <w:pStyle w:val="16"/>
            </w:pPr>
            <w:r>
              <w:t>绩效指标描述</w:t>
            </w:r>
          </w:p>
        </w:tc>
        <w:tc>
          <w:tcPr>
            <w:tcW w:w="2551" w:type="dxa"/>
            <w:vAlign w:val="center"/>
          </w:tcPr>
          <w:p>
            <w:pPr>
              <w:pStyle w:val="16"/>
            </w:pPr>
            <w:r>
              <w:t>指标值</w:t>
            </w:r>
          </w:p>
        </w:tc>
        <w:tc>
          <w:tcPr>
            <w:tcW w:w="2268"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产出指标</w:t>
            </w:r>
          </w:p>
        </w:tc>
        <w:tc>
          <w:tcPr>
            <w:tcW w:w="2268" w:type="dxa"/>
            <w:vAlign w:val="center"/>
          </w:tcPr>
          <w:p>
            <w:pPr>
              <w:pStyle w:val="18"/>
            </w:pPr>
            <w:r>
              <w:t>数量指标</w:t>
            </w:r>
          </w:p>
        </w:tc>
        <w:tc>
          <w:tcPr>
            <w:tcW w:w="2835" w:type="dxa"/>
            <w:vAlign w:val="center"/>
          </w:tcPr>
          <w:p>
            <w:pPr>
              <w:pStyle w:val="18"/>
            </w:pPr>
            <w:r>
              <w:t>机关工作正常运行时间</w:t>
            </w:r>
          </w:p>
        </w:tc>
        <w:tc>
          <w:tcPr>
            <w:tcW w:w="2835" w:type="dxa"/>
            <w:vAlign w:val="center"/>
          </w:tcPr>
          <w:p>
            <w:pPr>
              <w:pStyle w:val="18"/>
            </w:pPr>
            <w:r>
              <w:t>机关工作正常运行时间</w:t>
            </w:r>
          </w:p>
        </w:tc>
        <w:tc>
          <w:tcPr>
            <w:tcW w:w="2551" w:type="dxa"/>
            <w:vAlign w:val="center"/>
          </w:tcPr>
          <w:p>
            <w:pPr>
              <w:pStyle w:val="18"/>
            </w:pPr>
            <w:r>
              <w:t>1年</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质量指标</w:t>
            </w:r>
          </w:p>
        </w:tc>
        <w:tc>
          <w:tcPr>
            <w:tcW w:w="2835" w:type="dxa"/>
            <w:vAlign w:val="center"/>
          </w:tcPr>
          <w:p>
            <w:pPr>
              <w:pStyle w:val="18"/>
            </w:pPr>
            <w:r>
              <w:t>机关运行工作完成合格率</w:t>
            </w:r>
          </w:p>
        </w:tc>
        <w:tc>
          <w:tcPr>
            <w:tcW w:w="2835" w:type="dxa"/>
            <w:vAlign w:val="center"/>
          </w:tcPr>
          <w:p>
            <w:pPr>
              <w:pStyle w:val="18"/>
            </w:pPr>
            <w:r>
              <w:t>保证机关各项工作正常运转</w:t>
            </w:r>
          </w:p>
        </w:tc>
        <w:tc>
          <w:tcPr>
            <w:tcW w:w="2551" w:type="dxa"/>
            <w:vAlign w:val="center"/>
          </w:tcPr>
          <w:p>
            <w:pPr>
              <w:pStyle w:val="18"/>
            </w:pPr>
            <w:r>
              <w:t>100%</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时效指标</w:t>
            </w:r>
          </w:p>
        </w:tc>
        <w:tc>
          <w:tcPr>
            <w:tcW w:w="2835" w:type="dxa"/>
            <w:vAlign w:val="center"/>
          </w:tcPr>
          <w:p>
            <w:pPr>
              <w:pStyle w:val="18"/>
            </w:pPr>
            <w:r>
              <w:t>机关运行工作完成及时性</w:t>
            </w:r>
          </w:p>
        </w:tc>
        <w:tc>
          <w:tcPr>
            <w:tcW w:w="2835" w:type="dxa"/>
            <w:vAlign w:val="center"/>
          </w:tcPr>
          <w:p>
            <w:pPr>
              <w:pStyle w:val="18"/>
            </w:pPr>
            <w:r>
              <w:t>机关工作及时完成</w:t>
            </w:r>
          </w:p>
        </w:tc>
        <w:tc>
          <w:tcPr>
            <w:tcW w:w="2551" w:type="dxa"/>
            <w:vAlign w:val="center"/>
          </w:tcPr>
          <w:p>
            <w:pPr>
              <w:pStyle w:val="18"/>
            </w:pPr>
            <w:r>
              <w:t>按计划及时完成工作</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成本指标</w:t>
            </w:r>
          </w:p>
        </w:tc>
        <w:tc>
          <w:tcPr>
            <w:tcW w:w="2835" w:type="dxa"/>
            <w:vAlign w:val="center"/>
          </w:tcPr>
          <w:p>
            <w:pPr>
              <w:pStyle w:val="18"/>
            </w:pPr>
            <w:r>
              <w:t>项目成本控制</w:t>
            </w:r>
          </w:p>
        </w:tc>
        <w:tc>
          <w:tcPr>
            <w:tcW w:w="2835" w:type="dxa"/>
            <w:vAlign w:val="center"/>
          </w:tcPr>
          <w:p>
            <w:pPr>
              <w:pStyle w:val="18"/>
            </w:pPr>
            <w:r>
              <w:t>项目成本控制在预算范围之内</w:t>
            </w:r>
          </w:p>
        </w:tc>
        <w:tc>
          <w:tcPr>
            <w:tcW w:w="2551" w:type="dxa"/>
            <w:vAlign w:val="center"/>
          </w:tcPr>
          <w:p>
            <w:pPr>
              <w:pStyle w:val="18"/>
            </w:pPr>
            <w:r>
              <w:t>≤30万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效益指标</w:t>
            </w:r>
          </w:p>
        </w:tc>
        <w:tc>
          <w:tcPr>
            <w:tcW w:w="2268" w:type="dxa"/>
            <w:vAlign w:val="center"/>
          </w:tcPr>
          <w:p>
            <w:pPr>
              <w:pStyle w:val="18"/>
            </w:pPr>
            <w:r>
              <w:t>社会效益指标</w:t>
            </w:r>
          </w:p>
        </w:tc>
        <w:tc>
          <w:tcPr>
            <w:tcW w:w="2835" w:type="dxa"/>
            <w:vAlign w:val="center"/>
          </w:tcPr>
          <w:p>
            <w:pPr>
              <w:pStyle w:val="18"/>
            </w:pPr>
            <w:r>
              <w:t>提高为群众办事效率</w:t>
            </w:r>
          </w:p>
        </w:tc>
        <w:tc>
          <w:tcPr>
            <w:tcW w:w="2835" w:type="dxa"/>
            <w:vAlign w:val="center"/>
          </w:tcPr>
          <w:p>
            <w:pPr>
              <w:pStyle w:val="18"/>
            </w:pPr>
            <w:r>
              <w:t>处理业务及时、高效、服务群众</w:t>
            </w:r>
          </w:p>
        </w:tc>
        <w:tc>
          <w:tcPr>
            <w:tcW w:w="2551" w:type="dxa"/>
            <w:vAlign w:val="center"/>
          </w:tcPr>
          <w:p>
            <w:pPr>
              <w:pStyle w:val="18"/>
            </w:pPr>
            <w:r>
              <w:t>比上一年度提升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可持续影响指标</w:t>
            </w:r>
          </w:p>
        </w:tc>
        <w:tc>
          <w:tcPr>
            <w:tcW w:w="2835" w:type="dxa"/>
            <w:vAlign w:val="center"/>
          </w:tcPr>
          <w:p>
            <w:pPr>
              <w:pStyle w:val="18"/>
            </w:pPr>
            <w:r>
              <w:t>完善制度及实施方案健全程度</w:t>
            </w:r>
          </w:p>
        </w:tc>
        <w:tc>
          <w:tcPr>
            <w:tcW w:w="2835" w:type="dxa"/>
            <w:vAlign w:val="center"/>
          </w:tcPr>
          <w:p>
            <w:pPr>
              <w:pStyle w:val="18"/>
            </w:pPr>
            <w:r>
              <w:t>以后年度项目持续实施是否具备健全的制度保障</w:t>
            </w:r>
          </w:p>
        </w:tc>
        <w:tc>
          <w:tcPr>
            <w:tcW w:w="2551" w:type="dxa"/>
            <w:vAlign w:val="center"/>
          </w:tcPr>
          <w:p>
            <w:pPr>
              <w:pStyle w:val="18"/>
            </w:pPr>
            <w:r>
              <w:t>健全</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9"/>
            </w:pPr>
            <w:r>
              <w:t>满意度指标</w:t>
            </w:r>
          </w:p>
        </w:tc>
        <w:tc>
          <w:tcPr>
            <w:tcW w:w="2268" w:type="dxa"/>
            <w:vAlign w:val="center"/>
          </w:tcPr>
          <w:p>
            <w:pPr>
              <w:pStyle w:val="18"/>
            </w:pPr>
            <w:r>
              <w:t>服务对象满意度指标</w:t>
            </w:r>
          </w:p>
        </w:tc>
        <w:tc>
          <w:tcPr>
            <w:tcW w:w="2835" w:type="dxa"/>
            <w:vAlign w:val="center"/>
          </w:tcPr>
          <w:p>
            <w:pPr>
              <w:pStyle w:val="18"/>
            </w:pPr>
            <w:r>
              <w:t>办事群众对象满意度</w:t>
            </w:r>
          </w:p>
        </w:tc>
        <w:tc>
          <w:tcPr>
            <w:tcW w:w="2835" w:type="dxa"/>
            <w:vAlign w:val="center"/>
          </w:tcPr>
          <w:p>
            <w:pPr>
              <w:pStyle w:val="18"/>
            </w:pPr>
            <w:r>
              <w:t>调查中满意和较满意的群众人数占调查总人数的比率</w:t>
            </w:r>
          </w:p>
        </w:tc>
        <w:tc>
          <w:tcPr>
            <w:tcW w:w="2551" w:type="dxa"/>
            <w:vAlign w:val="center"/>
          </w:tcPr>
          <w:p>
            <w:pPr>
              <w:pStyle w:val="18"/>
            </w:pPr>
            <w:r>
              <w:t>≥90%</w:t>
            </w:r>
          </w:p>
        </w:tc>
        <w:tc>
          <w:tcPr>
            <w:tcW w:w="2268" w:type="dxa"/>
            <w:vAlign w:val="center"/>
          </w:tcPr>
          <w:p>
            <w:pPr>
              <w:pStyle w:val="18"/>
            </w:pPr>
            <w:r>
              <w:t>调查问卷</w:t>
            </w:r>
          </w:p>
        </w:tc>
      </w:tr>
    </w:tbl>
    <w:p>
      <w:pPr>
        <w:sectPr>
          <w:pgSz w:w="16840" w:h="11900" w:orient="landscape"/>
          <w:pgMar w:top="1361" w:right="1020" w:bottom="1134" w:left="1020" w:header="720" w:footer="720" w:gutter="0"/>
          <w:cols w:space="720" w:num="1"/>
        </w:sectPr>
      </w:pPr>
    </w:p>
    <w:p>
      <w:pPr>
        <w:ind w:firstLine="560"/>
      </w:pPr>
      <w:r>
        <w:rPr>
          <w:rFonts w:ascii="方正仿宋_GBK" w:hAnsi="方正仿宋_GBK" w:eastAsia="方正仿宋_GBK" w:cs="方正仿宋_GBK"/>
          <w:b/>
          <w:color w:val="000000"/>
          <w:sz w:val="28"/>
        </w:rPr>
        <w:t>5、投资项目咨询评估服务经费绩效目标表</w:t>
      </w:r>
    </w:p>
    <w:tbl>
      <w:tblPr>
        <w:tblStyle w:val="8"/>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6"/>
            </w:pPr>
            <w:r>
              <w:t>绩效目标</w:t>
            </w:r>
          </w:p>
        </w:tc>
        <w:tc>
          <w:tcPr>
            <w:tcW w:w="12756" w:type="dxa"/>
            <w:tcBorders>
              <w:bottom w:val="single" w:color="FFFFFF" w:sz="6" w:space="0"/>
            </w:tcBorders>
            <w:vAlign w:val="center"/>
          </w:tcPr>
          <w:p>
            <w:pPr>
              <w:pStyle w:val="18"/>
            </w:pPr>
            <w:r>
              <w:t>1.加强投资决策的科学性和民主性，有效提高审批质量和效率，规范投资决策过程中的咨询评估工作，保障我局审批工作能顺利、有效开展。</w:t>
            </w:r>
          </w:p>
          <w:p>
            <w:pPr>
              <w:pStyle w:val="18"/>
            </w:pPr>
            <w:r>
              <w:t>2.项目单位能够通过评估论证，结合项目实际情况，完善项目设计方案</w:t>
            </w:r>
          </w:p>
          <w:p>
            <w:pPr>
              <w:pStyle w:val="18"/>
            </w:pPr>
            <w:r>
              <w:t>3.使项目建设更加科学、合理，降低项目能源消耗及社会稳定风险等级。</w:t>
            </w:r>
          </w:p>
        </w:tc>
      </w:tr>
    </w:tbl>
    <w:p>
      <w:pPr>
        <w:spacing w:line="2" w:lineRule="exact"/>
        <w:jc w:val="cente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6"/>
            </w:pPr>
            <w:r>
              <w:t>一级指标</w:t>
            </w:r>
          </w:p>
        </w:tc>
        <w:tc>
          <w:tcPr>
            <w:tcW w:w="2268" w:type="dxa"/>
            <w:vAlign w:val="center"/>
          </w:tcPr>
          <w:p>
            <w:pPr>
              <w:pStyle w:val="16"/>
            </w:pPr>
            <w:r>
              <w:t>二级指标</w:t>
            </w:r>
          </w:p>
        </w:tc>
        <w:tc>
          <w:tcPr>
            <w:tcW w:w="2835" w:type="dxa"/>
            <w:vAlign w:val="center"/>
          </w:tcPr>
          <w:p>
            <w:pPr>
              <w:pStyle w:val="16"/>
            </w:pPr>
            <w:r>
              <w:t>三级指标</w:t>
            </w:r>
          </w:p>
        </w:tc>
        <w:tc>
          <w:tcPr>
            <w:tcW w:w="2835" w:type="dxa"/>
            <w:vAlign w:val="center"/>
          </w:tcPr>
          <w:p>
            <w:pPr>
              <w:pStyle w:val="16"/>
            </w:pPr>
            <w:r>
              <w:t>绩效指标描述</w:t>
            </w:r>
          </w:p>
        </w:tc>
        <w:tc>
          <w:tcPr>
            <w:tcW w:w="2551" w:type="dxa"/>
            <w:vAlign w:val="center"/>
          </w:tcPr>
          <w:p>
            <w:pPr>
              <w:pStyle w:val="16"/>
            </w:pPr>
            <w:r>
              <w:t>指标值</w:t>
            </w:r>
          </w:p>
        </w:tc>
        <w:tc>
          <w:tcPr>
            <w:tcW w:w="2268"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产出指标</w:t>
            </w:r>
          </w:p>
        </w:tc>
        <w:tc>
          <w:tcPr>
            <w:tcW w:w="2268" w:type="dxa"/>
            <w:vAlign w:val="center"/>
          </w:tcPr>
          <w:p>
            <w:pPr>
              <w:pStyle w:val="18"/>
            </w:pPr>
            <w:r>
              <w:t>数量指标</w:t>
            </w:r>
          </w:p>
        </w:tc>
        <w:tc>
          <w:tcPr>
            <w:tcW w:w="2835" w:type="dxa"/>
            <w:vAlign w:val="center"/>
          </w:tcPr>
          <w:p>
            <w:pPr>
              <w:pStyle w:val="18"/>
            </w:pPr>
            <w:r>
              <w:t>评估服务完成率</w:t>
            </w:r>
          </w:p>
        </w:tc>
        <w:tc>
          <w:tcPr>
            <w:tcW w:w="2835" w:type="dxa"/>
            <w:vAlign w:val="center"/>
          </w:tcPr>
          <w:p>
            <w:pPr>
              <w:pStyle w:val="18"/>
            </w:pPr>
            <w:r>
              <w:t>完成评估项目数量</w:t>
            </w:r>
          </w:p>
        </w:tc>
        <w:tc>
          <w:tcPr>
            <w:tcW w:w="2551" w:type="dxa"/>
            <w:vAlign w:val="center"/>
          </w:tcPr>
          <w:p>
            <w:pPr>
              <w:pStyle w:val="18"/>
            </w:pPr>
            <w:r>
              <w:t>≥15个</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质量指标</w:t>
            </w:r>
          </w:p>
        </w:tc>
        <w:tc>
          <w:tcPr>
            <w:tcW w:w="2835" w:type="dxa"/>
            <w:vAlign w:val="center"/>
          </w:tcPr>
          <w:p>
            <w:pPr>
              <w:pStyle w:val="18"/>
            </w:pPr>
            <w:r>
              <w:t>评估服务的合格率</w:t>
            </w:r>
          </w:p>
        </w:tc>
        <w:tc>
          <w:tcPr>
            <w:tcW w:w="2835" w:type="dxa"/>
            <w:vAlign w:val="center"/>
          </w:tcPr>
          <w:p>
            <w:pPr>
              <w:pStyle w:val="18"/>
            </w:pPr>
            <w:r>
              <w:t>形成评估报告，评估服务满足国家、省、市、县相关政策要求</w:t>
            </w:r>
          </w:p>
        </w:tc>
        <w:tc>
          <w:tcPr>
            <w:tcW w:w="2551" w:type="dxa"/>
            <w:vAlign w:val="center"/>
          </w:tcPr>
          <w:p>
            <w:pPr>
              <w:pStyle w:val="18"/>
            </w:pPr>
            <w:r>
              <w:t>100%</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时效指标</w:t>
            </w:r>
          </w:p>
        </w:tc>
        <w:tc>
          <w:tcPr>
            <w:tcW w:w="2835" w:type="dxa"/>
            <w:vAlign w:val="center"/>
          </w:tcPr>
          <w:p>
            <w:pPr>
              <w:pStyle w:val="18"/>
            </w:pPr>
            <w:r>
              <w:t>按时完成评估服务率</w:t>
            </w:r>
          </w:p>
        </w:tc>
        <w:tc>
          <w:tcPr>
            <w:tcW w:w="2835" w:type="dxa"/>
            <w:vAlign w:val="center"/>
          </w:tcPr>
          <w:p>
            <w:pPr>
              <w:pStyle w:val="18"/>
            </w:pPr>
            <w:r>
              <w:t>按委托书规定时间内完成</w:t>
            </w:r>
          </w:p>
        </w:tc>
        <w:tc>
          <w:tcPr>
            <w:tcW w:w="2551" w:type="dxa"/>
            <w:vAlign w:val="center"/>
          </w:tcPr>
          <w:p>
            <w:pPr>
              <w:pStyle w:val="18"/>
            </w:pPr>
            <w:r>
              <w:t>按计划及时完成工作</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成本指标</w:t>
            </w:r>
          </w:p>
        </w:tc>
        <w:tc>
          <w:tcPr>
            <w:tcW w:w="2835" w:type="dxa"/>
            <w:vAlign w:val="center"/>
          </w:tcPr>
          <w:p>
            <w:pPr>
              <w:pStyle w:val="18"/>
            </w:pPr>
            <w:r>
              <w:t>项目成本控制</w:t>
            </w:r>
          </w:p>
        </w:tc>
        <w:tc>
          <w:tcPr>
            <w:tcW w:w="2835" w:type="dxa"/>
            <w:vAlign w:val="center"/>
          </w:tcPr>
          <w:p>
            <w:pPr>
              <w:pStyle w:val="18"/>
            </w:pPr>
            <w:r>
              <w:t>项目成本控制在预算范围之内</w:t>
            </w:r>
          </w:p>
        </w:tc>
        <w:tc>
          <w:tcPr>
            <w:tcW w:w="2551" w:type="dxa"/>
            <w:vAlign w:val="center"/>
          </w:tcPr>
          <w:p>
            <w:pPr>
              <w:pStyle w:val="18"/>
            </w:pPr>
            <w:r>
              <w:t>≤40万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效益指标</w:t>
            </w:r>
          </w:p>
        </w:tc>
        <w:tc>
          <w:tcPr>
            <w:tcW w:w="2268" w:type="dxa"/>
            <w:vAlign w:val="center"/>
          </w:tcPr>
          <w:p>
            <w:pPr>
              <w:pStyle w:val="18"/>
            </w:pPr>
            <w:r>
              <w:t>社会效益指标</w:t>
            </w:r>
          </w:p>
        </w:tc>
        <w:tc>
          <w:tcPr>
            <w:tcW w:w="2835" w:type="dxa"/>
            <w:vAlign w:val="center"/>
          </w:tcPr>
          <w:p>
            <w:pPr>
              <w:pStyle w:val="18"/>
            </w:pPr>
            <w:r>
              <w:t>　提高政务服务办事效率</w:t>
            </w:r>
          </w:p>
        </w:tc>
        <w:tc>
          <w:tcPr>
            <w:tcW w:w="2835" w:type="dxa"/>
            <w:vAlign w:val="center"/>
          </w:tcPr>
          <w:p>
            <w:pPr>
              <w:pStyle w:val="18"/>
            </w:pPr>
            <w:r>
              <w:t>处理业务及时、高效、服务群众　</w:t>
            </w:r>
          </w:p>
        </w:tc>
        <w:tc>
          <w:tcPr>
            <w:tcW w:w="2551" w:type="dxa"/>
            <w:vAlign w:val="center"/>
          </w:tcPr>
          <w:p>
            <w:pPr>
              <w:pStyle w:val="18"/>
            </w:pPr>
            <w:r>
              <w:t>比上一年度提升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可持续影响指标</w:t>
            </w:r>
          </w:p>
        </w:tc>
        <w:tc>
          <w:tcPr>
            <w:tcW w:w="2835" w:type="dxa"/>
            <w:vAlign w:val="center"/>
          </w:tcPr>
          <w:p>
            <w:pPr>
              <w:pStyle w:val="18"/>
            </w:pPr>
            <w:r>
              <w:t>完善制度及实施方案健全程度</w:t>
            </w:r>
          </w:p>
        </w:tc>
        <w:tc>
          <w:tcPr>
            <w:tcW w:w="2835" w:type="dxa"/>
            <w:vAlign w:val="center"/>
          </w:tcPr>
          <w:p>
            <w:pPr>
              <w:pStyle w:val="18"/>
            </w:pPr>
            <w:r>
              <w:t>以后年度项目持续实施是否具备健全的制度保障</w:t>
            </w:r>
          </w:p>
        </w:tc>
        <w:tc>
          <w:tcPr>
            <w:tcW w:w="2551" w:type="dxa"/>
            <w:vAlign w:val="center"/>
          </w:tcPr>
          <w:p>
            <w:pPr>
              <w:pStyle w:val="18"/>
            </w:pPr>
            <w:r>
              <w:t>健全</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9"/>
            </w:pPr>
            <w:r>
              <w:t>满意度指标</w:t>
            </w:r>
          </w:p>
        </w:tc>
        <w:tc>
          <w:tcPr>
            <w:tcW w:w="2268" w:type="dxa"/>
            <w:vAlign w:val="center"/>
          </w:tcPr>
          <w:p>
            <w:pPr>
              <w:pStyle w:val="18"/>
            </w:pPr>
            <w:r>
              <w:t>服务对象满意度指标</w:t>
            </w:r>
          </w:p>
        </w:tc>
        <w:tc>
          <w:tcPr>
            <w:tcW w:w="2835" w:type="dxa"/>
            <w:vAlign w:val="center"/>
          </w:tcPr>
          <w:p>
            <w:pPr>
              <w:pStyle w:val="18"/>
            </w:pPr>
            <w:r>
              <w:t>办事群众对象满意度</w:t>
            </w:r>
          </w:p>
        </w:tc>
        <w:tc>
          <w:tcPr>
            <w:tcW w:w="2835" w:type="dxa"/>
            <w:vAlign w:val="center"/>
          </w:tcPr>
          <w:p>
            <w:pPr>
              <w:pStyle w:val="18"/>
            </w:pPr>
            <w:r>
              <w:t>调查中满意和较满意的群众人数占调查总人数的比率</w:t>
            </w:r>
          </w:p>
        </w:tc>
        <w:tc>
          <w:tcPr>
            <w:tcW w:w="2551" w:type="dxa"/>
            <w:vAlign w:val="center"/>
          </w:tcPr>
          <w:p>
            <w:pPr>
              <w:pStyle w:val="18"/>
            </w:pPr>
            <w:r>
              <w:t>≥90%</w:t>
            </w:r>
          </w:p>
        </w:tc>
        <w:tc>
          <w:tcPr>
            <w:tcW w:w="2268" w:type="dxa"/>
            <w:vAlign w:val="center"/>
          </w:tcPr>
          <w:p>
            <w:pPr>
              <w:pStyle w:val="18"/>
            </w:pPr>
            <w:r>
              <w:t>调查问卷</w:t>
            </w:r>
          </w:p>
        </w:tc>
      </w:tr>
    </w:tbl>
    <w:p>
      <w:pPr>
        <w:sectPr>
          <w:pgSz w:w="16840" w:h="11900" w:orient="landscape"/>
          <w:pgMar w:top="1361" w:right="1020" w:bottom="1134" w:left="1020" w:header="720" w:footer="720" w:gutter="0"/>
          <w:cols w:space="720" w:num="1"/>
        </w:sectPr>
      </w:pPr>
    </w:p>
    <w:p>
      <w:pPr>
        <w:ind w:firstLine="560"/>
      </w:pPr>
      <w:r>
        <w:rPr>
          <w:rFonts w:ascii="方正仿宋_GBK" w:hAnsi="方正仿宋_GBK" w:eastAsia="方正仿宋_GBK" w:cs="方正仿宋_GBK"/>
          <w:b/>
          <w:color w:val="000000"/>
          <w:sz w:val="28"/>
        </w:rPr>
        <w:t>6、物业费绩效目标表</w:t>
      </w:r>
    </w:p>
    <w:tbl>
      <w:tblPr>
        <w:tblStyle w:val="8"/>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6"/>
            </w:pPr>
            <w:r>
              <w:t>绩效目标</w:t>
            </w:r>
          </w:p>
        </w:tc>
        <w:tc>
          <w:tcPr>
            <w:tcW w:w="12756" w:type="dxa"/>
            <w:tcBorders>
              <w:bottom w:val="single" w:color="FFFFFF" w:sz="6" w:space="0"/>
            </w:tcBorders>
            <w:vAlign w:val="center"/>
          </w:tcPr>
          <w:p>
            <w:pPr>
              <w:pStyle w:val="18"/>
            </w:pPr>
            <w:r>
              <w:t>1.物业公司提供高质量的物业服务，维持审批服务正常秩序</w:t>
            </w:r>
          </w:p>
          <w:p>
            <w:pPr>
              <w:pStyle w:val="18"/>
            </w:pPr>
            <w:r>
              <w:t>2.正常开展审批业务需求</w:t>
            </w:r>
          </w:p>
          <w:p>
            <w:pPr>
              <w:pStyle w:val="18"/>
            </w:pPr>
            <w:r>
              <w:t>3. 提高政务服务水平，方便群众办事，群众满意度增加。</w:t>
            </w:r>
          </w:p>
        </w:tc>
      </w:tr>
    </w:tbl>
    <w:p>
      <w:pPr>
        <w:spacing w:line="2" w:lineRule="exact"/>
        <w:jc w:val="cente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6"/>
            </w:pPr>
            <w:r>
              <w:t>一级指标</w:t>
            </w:r>
          </w:p>
        </w:tc>
        <w:tc>
          <w:tcPr>
            <w:tcW w:w="2268" w:type="dxa"/>
            <w:vAlign w:val="center"/>
          </w:tcPr>
          <w:p>
            <w:pPr>
              <w:pStyle w:val="16"/>
            </w:pPr>
            <w:r>
              <w:t>二级指标</w:t>
            </w:r>
          </w:p>
        </w:tc>
        <w:tc>
          <w:tcPr>
            <w:tcW w:w="2835" w:type="dxa"/>
            <w:vAlign w:val="center"/>
          </w:tcPr>
          <w:p>
            <w:pPr>
              <w:pStyle w:val="16"/>
            </w:pPr>
            <w:r>
              <w:t>三级指标</w:t>
            </w:r>
          </w:p>
        </w:tc>
        <w:tc>
          <w:tcPr>
            <w:tcW w:w="2835" w:type="dxa"/>
            <w:vAlign w:val="center"/>
          </w:tcPr>
          <w:p>
            <w:pPr>
              <w:pStyle w:val="16"/>
            </w:pPr>
            <w:r>
              <w:t>绩效指标描述</w:t>
            </w:r>
          </w:p>
        </w:tc>
        <w:tc>
          <w:tcPr>
            <w:tcW w:w="2551" w:type="dxa"/>
            <w:vAlign w:val="center"/>
          </w:tcPr>
          <w:p>
            <w:pPr>
              <w:pStyle w:val="16"/>
            </w:pPr>
            <w:r>
              <w:t>指标值</w:t>
            </w:r>
          </w:p>
        </w:tc>
        <w:tc>
          <w:tcPr>
            <w:tcW w:w="2268"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产出指标</w:t>
            </w:r>
          </w:p>
        </w:tc>
        <w:tc>
          <w:tcPr>
            <w:tcW w:w="2268" w:type="dxa"/>
            <w:vAlign w:val="center"/>
          </w:tcPr>
          <w:p>
            <w:pPr>
              <w:pStyle w:val="18"/>
            </w:pPr>
            <w:r>
              <w:t>数量指标</w:t>
            </w:r>
          </w:p>
        </w:tc>
        <w:tc>
          <w:tcPr>
            <w:tcW w:w="2835" w:type="dxa"/>
            <w:vAlign w:val="center"/>
          </w:tcPr>
          <w:p>
            <w:pPr>
              <w:pStyle w:val="18"/>
            </w:pPr>
            <w:r>
              <w:t>物业服务面积</w:t>
            </w:r>
          </w:p>
        </w:tc>
        <w:tc>
          <w:tcPr>
            <w:tcW w:w="2835" w:type="dxa"/>
            <w:vAlign w:val="center"/>
          </w:tcPr>
          <w:p>
            <w:pPr>
              <w:pStyle w:val="18"/>
            </w:pPr>
            <w:r>
              <w:t>办公场所数量</w:t>
            </w:r>
          </w:p>
        </w:tc>
        <w:tc>
          <w:tcPr>
            <w:tcW w:w="2551" w:type="dxa"/>
            <w:vAlign w:val="center"/>
          </w:tcPr>
          <w:p>
            <w:pPr>
              <w:pStyle w:val="18"/>
            </w:pPr>
            <w:r>
              <w:t>9223平方米</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质量指标</w:t>
            </w:r>
          </w:p>
        </w:tc>
        <w:tc>
          <w:tcPr>
            <w:tcW w:w="2835" w:type="dxa"/>
            <w:vAlign w:val="center"/>
          </w:tcPr>
          <w:p>
            <w:pPr>
              <w:pStyle w:val="18"/>
            </w:pPr>
            <w:r>
              <w:t>物业服务完成合格率</w:t>
            </w:r>
          </w:p>
        </w:tc>
        <w:tc>
          <w:tcPr>
            <w:tcW w:w="2835" w:type="dxa"/>
            <w:vAlign w:val="center"/>
          </w:tcPr>
          <w:p>
            <w:pPr>
              <w:pStyle w:val="18"/>
            </w:pPr>
            <w:r>
              <w:t>符合招标文件与合同约定的标准</w:t>
            </w:r>
          </w:p>
        </w:tc>
        <w:tc>
          <w:tcPr>
            <w:tcW w:w="2551" w:type="dxa"/>
            <w:vAlign w:val="center"/>
          </w:tcPr>
          <w:p>
            <w:pPr>
              <w:pStyle w:val="18"/>
            </w:pPr>
            <w:r>
              <w:t>100%</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时效指标</w:t>
            </w:r>
          </w:p>
        </w:tc>
        <w:tc>
          <w:tcPr>
            <w:tcW w:w="2835" w:type="dxa"/>
            <w:vAlign w:val="center"/>
          </w:tcPr>
          <w:p>
            <w:pPr>
              <w:pStyle w:val="18"/>
            </w:pPr>
            <w:r>
              <w:t>物业服务完成及时性</w:t>
            </w:r>
          </w:p>
        </w:tc>
        <w:tc>
          <w:tcPr>
            <w:tcW w:w="2835" w:type="dxa"/>
            <w:vAlign w:val="center"/>
          </w:tcPr>
          <w:p>
            <w:pPr>
              <w:pStyle w:val="18"/>
            </w:pPr>
            <w:r>
              <w:t>及时投入使用</w:t>
            </w:r>
          </w:p>
        </w:tc>
        <w:tc>
          <w:tcPr>
            <w:tcW w:w="2551" w:type="dxa"/>
            <w:vAlign w:val="center"/>
          </w:tcPr>
          <w:p>
            <w:pPr>
              <w:pStyle w:val="18"/>
            </w:pPr>
            <w:r>
              <w:t>按计划及时完成工作</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成本指标</w:t>
            </w:r>
          </w:p>
        </w:tc>
        <w:tc>
          <w:tcPr>
            <w:tcW w:w="2835" w:type="dxa"/>
            <w:vAlign w:val="center"/>
          </w:tcPr>
          <w:p>
            <w:pPr>
              <w:pStyle w:val="18"/>
            </w:pPr>
            <w:r>
              <w:t>项目成本控制</w:t>
            </w:r>
          </w:p>
        </w:tc>
        <w:tc>
          <w:tcPr>
            <w:tcW w:w="2835" w:type="dxa"/>
            <w:vAlign w:val="center"/>
          </w:tcPr>
          <w:p>
            <w:pPr>
              <w:pStyle w:val="18"/>
            </w:pPr>
            <w:r>
              <w:t>项目成本控制在预算范围之内</w:t>
            </w:r>
          </w:p>
        </w:tc>
        <w:tc>
          <w:tcPr>
            <w:tcW w:w="2551" w:type="dxa"/>
            <w:vAlign w:val="center"/>
          </w:tcPr>
          <w:p>
            <w:pPr>
              <w:pStyle w:val="18"/>
            </w:pPr>
            <w:r>
              <w:t>≤100万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效益指标</w:t>
            </w:r>
          </w:p>
        </w:tc>
        <w:tc>
          <w:tcPr>
            <w:tcW w:w="2268" w:type="dxa"/>
            <w:vAlign w:val="center"/>
          </w:tcPr>
          <w:p>
            <w:pPr>
              <w:pStyle w:val="18"/>
            </w:pPr>
            <w:r>
              <w:t>社会效益指标</w:t>
            </w:r>
          </w:p>
        </w:tc>
        <w:tc>
          <w:tcPr>
            <w:tcW w:w="2835" w:type="dxa"/>
            <w:vAlign w:val="center"/>
          </w:tcPr>
          <w:p>
            <w:pPr>
              <w:pStyle w:val="18"/>
            </w:pPr>
            <w:r>
              <w:t>　提高政务服务办事效率</w:t>
            </w:r>
          </w:p>
        </w:tc>
        <w:tc>
          <w:tcPr>
            <w:tcW w:w="2835" w:type="dxa"/>
            <w:vAlign w:val="center"/>
          </w:tcPr>
          <w:p>
            <w:pPr>
              <w:pStyle w:val="18"/>
            </w:pPr>
            <w:r>
              <w:t>处理业务及时、高效、服务群众　</w:t>
            </w:r>
          </w:p>
        </w:tc>
        <w:tc>
          <w:tcPr>
            <w:tcW w:w="2551" w:type="dxa"/>
            <w:vAlign w:val="center"/>
          </w:tcPr>
          <w:p>
            <w:pPr>
              <w:pStyle w:val="18"/>
            </w:pPr>
            <w:r>
              <w:t>比上一年度提升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可持续影响指标</w:t>
            </w:r>
          </w:p>
        </w:tc>
        <w:tc>
          <w:tcPr>
            <w:tcW w:w="2835" w:type="dxa"/>
            <w:vAlign w:val="center"/>
          </w:tcPr>
          <w:p>
            <w:pPr>
              <w:pStyle w:val="18"/>
            </w:pPr>
            <w:r>
              <w:t>完善制度及实施方案健全程度</w:t>
            </w:r>
          </w:p>
        </w:tc>
        <w:tc>
          <w:tcPr>
            <w:tcW w:w="2835" w:type="dxa"/>
            <w:vAlign w:val="center"/>
          </w:tcPr>
          <w:p>
            <w:pPr>
              <w:pStyle w:val="18"/>
            </w:pPr>
            <w:r>
              <w:t>以后年度项目持续实施是否具备健全的制度保障</w:t>
            </w:r>
          </w:p>
        </w:tc>
        <w:tc>
          <w:tcPr>
            <w:tcW w:w="2551" w:type="dxa"/>
            <w:vAlign w:val="center"/>
          </w:tcPr>
          <w:p>
            <w:pPr>
              <w:pStyle w:val="18"/>
            </w:pPr>
            <w:r>
              <w:t>健全</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9"/>
            </w:pPr>
            <w:r>
              <w:t>满意度指标</w:t>
            </w:r>
          </w:p>
        </w:tc>
        <w:tc>
          <w:tcPr>
            <w:tcW w:w="2268" w:type="dxa"/>
            <w:vAlign w:val="center"/>
          </w:tcPr>
          <w:p>
            <w:pPr>
              <w:pStyle w:val="18"/>
            </w:pPr>
            <w:r>
              <w:t>服务对象满意度指标</w:t>
            </w:r>
          </w:p>
        </w:tc>
        <w:tc>
          <w:tcPr>
            <w:tcW w:w="2835" w:type="dxa"/>
            <w:vAlign w:val="center"/>
          </w:tcPr>
          <w:p>
            <w:pPr>
              <w:pStyle w:val="18"/>
            </w:pPr>
            <w:r>
              <w:t>办事群众对象满意度</w:t>
            </w:r>
          </w:p>
        </w:tc>
        <w:tc>
          <w:tcPr>
            <w:tcW w:w="2835" w:type="dxa"/>
            <w:vAlign w:val="center"/>
          </w:tcPr>
          <w:p>
            <w:pPr>
              <w:pStyle w:val="18"/>
            </w:pPr>
            <w:r>
              <w:t>调查中满意和较满意的群众人数占调查总人数的比率</w:t>
            </w:r>
          </w:p>
        </w:tc>
        <w:tc>
          <w:tcPr>
            <w:tcW w:w="2551" w:type="dxa"/>
            <w:vAlign w:val="center"/>
          </w:tcPr>
          <w:p>
            <w:pPr>
              <w:pStyle w:val="18"/>
            </w:pPr>
            <w:r>
              <w:t>≥90%</w:t>
            </w:r>
          </w:p>
        </w:tc>
        <w:tc>
          <w:tcPr>
            <w:tcW w:w="2268" w:type="dxa"/>
            <w:vAlign w:val="center"/>
          </w:tcPr>
          <w:p>
            <w:pPr>
              <w:pStyle w:val="18"/>
            </w:pPr>
            <w:r>
              <w:t>调查问卷</w:t>
            </w:r>
          </w:p>
        </w:tc>
      </w:tr>
    </w:tbl>
    <w:p>
      <w:pPr>
        <w:sectPr>
          <w:pgSz w:w="16840" w:h="11900" w:orient="landscape"/>
          <w:pgMar w:top="1361" w:right="1020" w:bottom="1134" w:left="1020" w:header="720" w:footer="720" w:gutter="0"/>
          <w:cols w:space="720" w:num="1"/>
        </w:sectPr>
      </w:pPr>
    </w:p>
    <w:p>
      <w:pPr>
        <w:ind w:firstLine="560"/>
      </w:pPr>
      <w:r>
        <w:rPr>
          <w:rFonts w:ascii="方正仿宋_GBK" w:hAnsi="方正仿宋_GBK" w:eastAsia="方正仿宋_GBK" w:cs="方正仿宋_GBK"/>
          <w:b/>
          <w:color w:val="000000"/>
          <w:sz w:val="28"/>
        </w:rPr>
        <w:t>7、县乡村三级政务服务平台建设资金绩效目标表</w:t>
      </w:r>
    </w:p>
    <w:tbl>
      <w:tblPr>
        <w:tblStyle w:val="8"/>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6"/>
            </w:pPr>
            <w:r>
              <w:t>绩效目标</w:t>
            </w:r>
          </w:p>
        </w:tc>
        <w:tc>
          <w:tcPr>
            <w:tcW w:w="12756" w:type="dxa"/>
            <w:tcBorders>
              <w:bottom w:val="single" w:color="FFFFFF" w:sz="6" w:space="0"/>
            </w:tcBorders>
            <w:vAlign w:val="center"/>
          </w:tcPr>
          <w:p>
            <w:pPr>
              <w:pStyle w:val="18"/>
            </w:pPr>
            <w:r>
              <w:t>1.进一步规范提升县政务大厅、乡镇（区、办）行政综合服务中心和农村（社区）综合服务站建设。</w:t>
            </w:r>
          </w:p>
          <w:p>
            <w:pPr>
              <w:pStyle w:val="18"/>
            </w:pPr>
            <w:r>
              <w:t>2.强化服务功能、提升服务质量、优化服务效能。</w:t>
            </w:r>
          </w:p>
          <w:p>
            <w:pPr>
              <w:pStyle w:val="18"/>
            </w:pPr>
            <w:r>
              <w:t>3.确保每个乡镇和村街的数据都能够实时上传调度和设备正常使用。</w:t>
            </w:r>
          </w:p>
        </w:tc>
      </w:tr>
    </w:tbl>
    <w:p>
      <w:pPr>
        <w:spacing w:line="2" w:lineRule="exact"/>
        <w:jc w:val="cente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6"/>
            </w:pPr>
            <w:r>
              <w:t>一级指标</w:t>
            </w:r>
          </w:p>
        </w:tc>
        <w:tc>
          <w:tcPr>
            <w:tcW w:w="2268" w:type="dxa"/>
            <w:vAlign w:val="center"/>
          </w:tcPr>
          <w:p>
            <w:pPr>
              <w:pStyle w:val="16"/>
            </w:pPr>
            <w:r>
              <w:t>二级指标</w:t>
            </w:r>
          </w:p>
        </w:tc>
        <w:tc>
          <w:tcPr>
            <w:tcW w:w="2835" w:type="dxa"/>
            <w:vAlign w:val="center"/>
          </w:tcPr>
          <w:p>
            <w:pPr>
              <w:pStyle w:val="16"/>
            </w:pPr>
            <w:r>
              <w:t>三级指标</w:t>
            </w:r>
          </w:p>
        </w:tc>
        <w:tc>
          <w:tcPr>
            <w:tcW w:w="2835" w:type="dxa"/>
            <w:vAlign w:val="center"/>
          </w:tcPr>
          <w:p>
            <w:pPr>
              <w:pStyle w:val="16"/>
            </w:pPr>
            <w:r>
              <w:t>绩效指标描述</w:t>
            </w:r>
          </w:p>
        </w:tc>
        <w:tc>
          <w:tcPr>
            <w:tcW w:w="2551" w:type="dxa"/>
            <w:vAlign w:val="center"/>
          </w:tcPr>
          <w:p>
            <w:pPr>
              <w:pStyle w:val="16"/>
            </w:pPr>
            <w:r>
              <w:t>指标值</w:t>
            </w:r>
          </w:p>
        </w:tc>
        <w:tc>
          <w:tcPr>
            <w:tcW w:w="2268"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产出指标</w:t>
            </w:r>
          </w:p>
        </w:tc>
        <w:tc>
          <w:tcPr>
            <w:tcW w:w="2268" w:type="dxa"/>
            <w:vAlign w:val="center"/>
          </w:tcPr>
          <w:p>
            <w:pPr>
              <w:pStyle w:val="18"/>
            </w:pPr>
            <w:r>
              <w:t>数量指标</w:t>
            </w:r>
          </w:p>
        </w:tc>
        <w:tc>
          <w:tcPr>
            <w:tcW w:w="2835" w:type="dxa"/>
            <w:vAlign w:val="center"/>
          </w:tcPr>
          <w:p>
            <w:pPr>
              <w:pStyle w:val="18"/>
            </w:pPr>
            <w:r>
              <w:t>三级平台村街建设个数</w:t>
            </w:r>
          </w:p>
        </w:tc>
        <w:tc>
          <w:tcPr>
            <w:tcW w:w="2835" w:type="dxa"/>
            <w:vAlign w:val="center"/>
          </w:tcPr>
          <w:p>
            <w:pPr>
              <w:pStyle w:val="18"/>
            </w:pPr>
            <w:r>
              <w:t>三级平台村街建设个数</w:t>
            </w:r>
          </w:p>
        </w:tc>
        <w:tc>
          <w:tcPr>
            <w:tcW w:w="2551" w:type="dxa"/>
            <w:vAlign w:val="center"/>
          </w:tcPr>
          <w:p>
            <w:pPr>
              <w:pStyle w:val="18"/>
            </w:pPr>
            <w:r>
              <w:t>364个</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质量指标</w:t>
            </w:r>
          </w:p>
        </w:tc>
        <w:tc>
          <w:tcPr>
            <w:tcW w:w="2835" w:type="dxa"/>
            <w:vAlign w:val="center"/>
          </w:tcPr>
          <w:p>
            <w:pPr>
              <w:pStyle w:val="18"/>
            </w:pPr>
            <w:r>
              <w:t>三级平台村街建设项目合格率</w:t>
            </w:r>
          </w:p>
        </w:tc>
        <w:tc>
          <w:tcPr>
            <w:tcW w:w="2835" w:type="dxa"/>
            <w:vAlign w:val="center"/>
          </w:tcPr>
          <w:p>
            <w:pPr>
              <w:pStyle w:val="18"/>
            </w:pPr>
            <w:r>
              <w:t>符合招标文件与合同约定的验收标准</w:t>
            </w:r>
          </w:p>
        </w:tc>
        <w:tc>
          <w:tcPr>
            <w:tcW w:w="2551" w:type="dxa"/>
            <w:vAlign w:val="center"/>
          </w:tcPr>
          <w:p>
            <w:pPr>
              <w:pStyle w:val="18"/>
            </w:pPr>
            <w:r>
              <w:t>100%</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时效指标</w:t>
            </w:r>
          </w:p>
        </w:tc>
        <w:tc>
          <w:tcPr>
            <w:tcW w:w="2835" w:type="dxa"/>
            <w:vAlign w:val="center"/>
          </w:tcPr>
          <w:p>
            <w:pPr>
              <w:pStyle w:val="18"/>
            </w:pPr>
            <w:r>
              <w:t>项目完成及时性</w:t>
            </w:r>
          </w:p>
        </w:tc>
        <w:tc>
          <w:tcPr>
            <w:tcW w:w="2835" w:type="dxa"/>
            <w:vAlign w:val="center"/>
          </w:tcPr>
          <w:p>
            <w:pPr>
              <w:pStyle w:val="18"/>
            </w:pPr>
            <w:r>
              <w:t>及时竣工验收，及时投入使用</w:t>
            </w:r>
          </w:p>
        </w:tc>
        <w:tc>
          <w:tcPr>
            <w:tcW w:w="2551" w:type="dxa"/>
            <w:vAlign w:val="center"/>
          </w:tcPr>
          <w:p>
            <w:pPr>
              <w:pStyle w:val="18"/>
            </w:pPr>
            <w:r>
              <w:t>按计划及时完成工作</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成本指标</w:t>
            </w:r>
          </w:p>
        </w:tc>
        <w:tc>
          <w:tcPr>
            <w:tcW w:w="2835" w:type="dxa"/>
            <w:vAlign w:val="center"/>
          </w:tcPr>
          <w:p>
            <w:pPr>
              <w:pStyle w:val="18"/>
            </w:pPr>
            <w:r>
              <w:t>项目成本控制</w:t>
            </w:r>
          </w:p>
        </w:tc>
        <w:tc>
          <w:tcPr>
            <w:tcW w:w="2835" w:type="dxa"/>
            <w:vAlign w:val="center"/>
          </w:tcPr>
          <w:p>
            <w:pPr>
              <w:pStyle w:val="18"/>
            </w:pPr>
            <w:r>
              <w:t>项目成本控制在预算范围之内</w:t>
            </w:r>
          </w:p>
        </w:tc>
        <w:tc>
          <w:tcPr>
            <w:tcW w:w="2551" w:type="dxa"/>
            <w:vAlign w:val="center"/>
          </w:tcPr>
          <w:p>
            <w:pPr>
              <w:pStyle w:val="18"/>
            </w:pPr>
            <w:r>
              <w:t>≤30万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效益指标</w:t>
            </w:r>
          </w:p>
        </w:tc>
        <w:tc>
          <w:tcPr>
            <w:tcW w:w="2268" w:type="dxa"/>
            <w:vAlign w:val="center"/>
          </w:tcPr>
          <w:p>
            <w:pPr>
              <w:pStyle w:val="18"/>
            </w:pPr>
            <w:r>
              <w:t>社会效益指标</w:t>
            </w:r>
          </w:p>
        </w:tc>
        <w:tc>
          <w:tcPr>
            <w:tcW w:w="2835" w:type="dxa"/>
            <w:vAlign w:val="center"/>
          </w:tcPr>
          <w:p>
            <w:pPr>
              <w:pStyle w:val="18"/>
            </w:pPr>
            <w:r>
              <w:t>　提高政务服务办事效率</w:t>
            </w:r>
          </w:p>
        </w:tc>
        <w:tc>
          <w:tcPr>
            <w:tcW w:w="2835" w:type="dxa"/>
            <w:vAlign w:val="center"/>
          </w:tcPr>
          <w:p>
            <w:pPr>
              <w:pStyle w:val="18"/>
            </w:pPr>
            <w:r>
              <w:t>处理业务及时、高效、服务群众　</w:t>
            </w:r>
          </w:p>
        </w:tc>
        <w:tc>
          <w:tcPr>
            <w:tcW w:w="2551" w:type="dxa"/>
            <w:vAlign w:val="center"/>
          </w:tcPr>
          <w:p>
            <w:pPr>
              <w:pStyle w:val="18"/>
            </w:pPr>
            <w:r>
              <w:t>比上一年度提升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可持续影响指标</w:t>
            </w:r>
          </w:p>
        </w:tc>
        <w:tc>
          <w:tcPr>
            <w:tcW w:w="2835" w:type="dxa"/>
            <w:vAlign w:val="center"/>
          </w:tcPr>
          <w:p>
            <w:pPr>
              <w:pStyle w:val="18"/>
            </w:pPr>
            <w:r>
              <w:t>完善制度及实施方案健全程度</w:t>
            </w:r>
          </w:p>
        </w:tc>
        <w:tc>
          <w:tcPr>
            <w:tcW w:w="2835" w:type="dxa"/>
            <w:vAlign w:val="center"/>
          </w:tcPr>
          <w:p>
            <w:pPr>
              <w:pStyle w:val="18"/>
            </w:pPr>
            <w:r>
              <w:t>以后年度项目持续实施是否具备健全的制度保障</w:t>
            </w:r>
          </w:p>
        </w:tc>
        <w:tc>
          <w:tcPr>
            <w:tcW w:w="2551" w:type="dxa"/>
            <w:vAlign w:val="center"/>
          </w:tcPr>
          <w:p>
            <w:pPr>
              <w:pStyle w:val="18"/>
            </w:pPr>
            <w:r>
              <w:t>健全</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9"/>
            </w:pPr>
            <w:r>
              <w:t>满意度指标</w:t>
            </w:r>
          </w:p>
        </w:tc>
        <w:tc>
          <w:tcPr>
            <w:tcW w:w="2268" w:type="dxa"/>
            <w:vAlign w:val="center"/>
          </w:tcPr>
          <w:p>
            <w:pPr>
              <w:pStyle w:val="18"/>
            </w:pPr>
            <w:r>
              <w:t>服务对象满意度指标</w:t>
            </w:r>
          </w:p>
        </w:tc>
        <w:tc>
          <w:tcPr>
            <w:tcW w:w="2835" w:type="dxa"/>
            <w:vAlign w:val="center"/>
          </w:tcPr>
          <w:p>
            <w:pPr>
              <w:pStyle w:val="18"/>
            </w:pPr>
            <w:r>
              <w:t>办事群众对象满意度</w:t>
            </w:r>
          </w:p>
        </w:tc>
        <w:tc>
          <w:tcPr>
            <w:tcW w:w="2835" w:type="dxa"/>
            <w:vAlign w:val="center"/>
          </w:tcPr>
          <w:p>
            <w:pPr>
              <w:pStyle w:val="18"/>
            </w:pPr>
            <w:r>
              <w:t>调查中满意和较满意的群众人数占调查总人数的比率</w:t>
            </w:r>
          </w:p>
        </w:tc>
        <w:tc>
          <w:tcPr>
            <w:tcW w:w="2551" w:type="dxa"/>
            <w:vAlign w:val="center"/>
          </w:tcPr>
          <w:p>
            <w:pPr>
              <w:pStyle w:val="18"/>
            </w:pPr>
            <w:r>
              <w:t>≥90%</w:t>
            </w:r>
          </w:p>
        </w:tc>
        <w:tc>
          <w:tcPr>
            <w:tcW w:w="2268" w:type="dxa"/>
            <w:vAlign w:val="center"/>
          </w:tcPr>
          <w:p>
            <w:pPr>
              <w:pStyle w:val="18"/>
            </w:pPr>
            <w:r>
              <w:t>调查问卷</w:t>
            </w:r>
          </w:p>
        </w:tc>
      </w:tr>
    </w:tbl>
    <w:p>
      <w:pPr>
        <w:sectPr>
          <w:pgSz w:w="16840" w:h="11900" w:orient="landscape"/>
          <w:pgMar w:top="1361" w:right="1020" w:bottom="1134" w:left="1020" w:header="720" w:footer="720" w:gutter="0"/>
          <w:cols w:space="720" w:num="1"/>
        </w:sectPr>
      </w:pPr>
    </w:p>
    <w:p>
      <w:pPr>
        <w:ind w:firstLine="560"/>
      </w:pPr>
      <w:r>
        <w:rPr>
          <w:rFonts w:ascii="方正仿宋_GBK" w:hAnsi="方正仿宋_GBK" w:eastAsia="方正仿宋_GBK" w:cs="方正仿宋_GBK"/>
          <w:b/>
          <w:color w:val="000000"/>
          <w:sz w:val="28"/>
        </w:rPr>
        <w:t>8、县乡村三级政务服务平台网络专线费用及运行维护经费绩效目标表</w:t>
      </w:r>
    </w:p>
    <w:tbl>
      <w:tblPr>
        <w:tblStyle w:val="8"/>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6"/>
            </w:pPr>
            <w:r>
              <w:t>绩效目标</w:t>
            </w:r>
          </w:p>
        </w:tc>
        <w:tc>
          <w:tcPr>
            <w:tcW w:w="12756" w:type="dxa"/>
            <w:tcBorders>
              <w:bottom w:val="single" w:color="FFFFFF" w:sz="6" w:space="0"/>
            </w:tcBorders>
            <w:vAlign w:val="center"/>
          </w:tcPr>
          <w:p>
            <w:pPr>
              <w:pStyle w:val="18"/>
            </w:pPr>
            <w:r>
              <w:t>1.对全县10个乡镇和364个村街进行平台和设备的运维</w:t>
            </w:r>
          </w:p>
          <w:p>
            <w:pPr>
              <w:pStyle w:val="18"/>
            </w:pPr>
            <w:r>
              <w:t>2.确保每个乡镇和村街的数据都能够实时上传调度和设备正常使用。</w:t>
            </w:r>
          </w:p>
          <w:p>
            <w:pPr>
              <w:pStyle w:val="18"/>
            </w:pPr>
            <w:r>
              <w:t>3.强化服务功能、提升服务质量、优化服务效能</w:t>
            </w:r>
          </w:p>
        </w:tc>
      </w:tr>
    </w:tbl>
    <w:p>
      <w:pPr>
        <w:spacing w:line="2" w:lineRule="exact"/>
        <w:jc w:val="cente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6"/>
            </w:pPr>
            <w:r>
              <w:t>一级指标</w:t>
            </w:r>
          </w:p>
        </w:tc>
        <w:tc>
          <w:tcPr>
            <w:tcW w:w="2268" w:type="dxa"/>
            <w:vAlign w:val="center"/>
          </w:tcPr>
          <w:p>
            <w:pPr>
              <w:pStyle w:val="16"/>
            </w:pPr>
            <w:r>
              <w:t>二级指标</w:t>
            </w:r>
          </w:p>
        </w:tc>
        <w:tc>
          <w:tcPr>
            <w:tcW w:w="2835" w:type="dxa"/>
            <w:vAlign w:val="center"/>
          </w:tcPr>
          <w:p>
            <w:pPr>
              <w:pStyle w:val="16"/>
            </w:pPr>
            <w:r>
              <w:t>三级指标</w:t>
            </w:r>
          </w:p>
        </w:tc>
        <w:tc>
          <w:tcPr>
            <w:tcW w:w="2835" w:type="dxa"/>
            <w:vAlign w:val="center"/>
          </w:tcPr>
          <w:p>
            <w:pPr>
              <w:pStyle w:val="16"/>
            </w:pPr>
            <w:r>
              <w:t>绩效指标描述</w:t>
            </w:r>
          </w:p>
        </w:tc>
        <w:tc>
          <w:tcPr>
            <w:tcW w:w="2551" w:type="dxa"/>
            <w:vAlign w:val="center"/>
          </w:tcPr>
          <w:p>
            <w:pPr>
              <w:pStyle w:val="16"/>
            </w:pPr>
            <w:r>
              <w:t>指标值</w:t>
            </w:r>
          </w:p>
        </w:tc>
        <w:tc>
          <w:tcPr>
            <w:tcW w:w="2268"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产出指标</w:t>
            </w:r>
          </w:p>
        </w:tc>
        <w:tc>
          <w:tcPr>
            <w:tcW w:w="2268" w:type="dxa"/>
            <w:vAlign w:val="center"/>
          </w:tcPr>
          <w:p>
            <w:pPr>
              <w:pStyle w:val="18"/>
            </w:pPr>
            <w:r>
              <w:t>数量指标</w:t>
            </w:r>
          </w:p>
        </w:tc>
        <w:tc>
          <w:tcPr>
            <w:tcW w:w="2835" w:type="dxa"/>
            <w:vAlign w:val="center"/>
          </w:tcPr>
          <w:p>
            <w:pPr>
              <w:pStyle w:val="18"/>
            </w:pPr>
            <w:r>
              <w:t>三级平台村街、乡镇建设个数</w:t>
            </w:r>
          </w:p>
        </w:tc>
        <w:tc>
          <w:tcPr>
            <w:tcW w:w="2835" w:type="dxa"/>
            <w:vAlign w:val="center"/>
          </w:tcPr>
          <w:p>
            <w:pPr>
              <w:pStyle w:val="18"/>
            </w:pPr>
            <w:r>
              <w:t>三级平台村街、乡镇建设个数</w:t>
            </w:r>
          </w:p>
        </w:tc>
        <w:tc>
          <w:tcPr>
            <w:tcW w:w="2551" w:type="dxa"/>
            <w:vAlign w:val="center"/>
          </w:tcPr>
          <w:p>
            <w:pPr>
              <w:pStyle w:val="18"/>
            </w:pPr>
            <w:r>
              <w:t>374个</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质量指标</w:t>
            </w:r>
          </w:p>
        </w:tc>
        <w:tc>
          <w:tcPr>
            <w:tcW w:w="2835" w:type="dxa"/>
            <w:vAlign w:val="center"/>
          </w:tcPr>
          <w:p>
            <w:pPr>
              <w:pStyle w:val="18"/>
            </w:pPr>
            <w:r>
              <w:t>三级平台村街建设项目合格率</w:t>
            </w:r>
          </w:p>
        </w:tc>
        <w:tc>
          <w:tcPr>
            <w:tcW w:w="2835" w:type="dxa"/>
            <w:vAlign w:val="center"/>
          </w:tcPr>
          <w:p>
            <w:pPr>
              <w:pStyle w:val="18"/>
            </w:pPr>
            <w:r>
              <w:t>符合招标文件与合同约定的验收标准</w:t>
            </w:r>
          </w:p>
        </w:tc>
        <w:tc>
          <w:tcPr>
            <w:tcW w:w="2551" w:type="dxa"/>
            <w:vAlign w:val="center"/>
          </w:tcPr>
          <w:p>
            <w:pPr>
              <w:pStyle w:val="18"/>
            </w:pPr>
            <w:r>
              <w:t>100%</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时效指标</w:t>
            </w:r>
          </w:p>
        </w:tc>
        <w:tc>
          <w:tcPr>
            <w:tcW w:w="2835" w:type="dxa"/>
            <w:vAlign w:val="center"/>
          </w:tcPr>
          <w:p>
            <w:pPr>
              <w:pStyle w:val="18"/>
            </w:pPr>
            <w:r>
              <w:t>项目完成及时性</w:t>
            </w:r>
          </w:p>
        </w:tc>
        <w:tc>
          <w:tcPr>
            <w:tcW w:w="2835" w:type="dxa"/>
            <w:vAlign w:val="center"/>
          </w:tcPr>
          <w:p>
            <w:pPr>
              <w:pStyle w:val="18"/>
            </w:pPr>
            <w:r>
              <w:t>及时竣工验收，及时投入使用</w:t>
            </w:r>
          </w:p>
        </w:tc>
        <w:tc>
          <w:tcPr>
            <w:tcW w:w="2551" w:type="dxa"/>
            <w:vAlign w:val="center"/>
          </w:tcPr>
          <w:p>
            <w:pPr>
              <w:pStyle w:val="18"/>
            </w:pPr>
            <w:r>
              <w:t>按计划及时完成工作</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成本指标</w:t>
            </w:r>
          </w:p>
        </w:tc>
        <w:tc>
          <w:tcPr>
            <w:tcW w:w="2835" w:type="dxa"/>
            <w:vAlign w:val="center"/>
          </w:tcPr>
          <w:p>
            <w:pPr>
              <w:pStyle w:val="18"/>
            </w:pPr>
            <w:r>
              <w:t>项目成本控制</w:t>
            </w:r>
          </w:p>
        </w:tc>
        <w:tc>
          <w:tcPr>
            <w:tcW w:w="2835" w:type="dxa"/>
            <w:vAlign w:val="center"/>
          </w:tcPr>
          <w:p>
            <w:pPr>
              <w:pStyle w:val="18"/>
            </w:pPr>
            <w:r>
              <w:t>控制在预算范围之内</w:t>
            </w:r>
          </w:p>
        </w:tc>
        <w:tc>
          <w:tcPr>
            <w:tcW w:w="2551" w:type="dxa"/>
            <w:vAlign w:val="center"/>
          </w:tcPr>
          <w:p>
            <w:pPr>
              <w:pStyle w:val="18"/>
            </w:pPr>
            <w:r>
              <w:t>≤147万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效益指标</w:t>
            </w:r>
          </w:p>
        </w:tc>
        <w:tc>
          <w:tcPr>
            <w:tcW w:w="2268" w:type="dxa"/>
            <w:vAlign w:val="center"/>
          </w:tcPr>
          <w:p>
            <w:pPr>
              <w:pStyle w:val="18"/>
            </w:pPr>
            <w:r>
              <w:t>社会效益指标</w:t>
            </w:r>
          </w:p>
        </w:tc>
        <w:tc>
          <w:tcPr>
            <w:tcW w:w="2835" w:type="dxa"/>
            <w:vAlign w:val="center"/>
          </w:tcPr>
          <w:p>
            <w:pPr>
              <w:pStyle w:val="18"/>
            </w:pPr>
            <w:r>
              <w:t>　提高政务服务办事效率</w:t>
            </w:r>
          </w:p>
        </w:tc>
        <w:tc>
          <w:tcPr>
            <w:tcW w:w="2835" w:type="dxa"/>
            <w:vAlign w:val="center"/>
          </w:tcPr>
          <w:p>
            <w:pPr>
              <w:pStyle w:val="18"/>
            </w:pPr>
            <w:r>
              <w:t>处理业务及时、高效、服务群众　</w:t>
            </w:r>
          </w:p>
        </w:tc>
        <w:tc>
          <w:tcPr>
            <w:tcW w:w="2551" w:type="dxa"/>
            <w:vAlign w:val="center"/>
          </w:tcPr>
          <w:p>
            <w:pPr>
              <w:pStyle w:val="18"/>
            </w:pPr>
            <w:r>
              <w:t>比上一年度提升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可持续影响指标</w:t>
            </w:r>
          </w:p>
        </w:tc>
        <w:tc>
          <w:tcPr>
            <w:tcW w:w="2835" w:type="dxa"/>
            <w:vAlign w:val="center"/>
          </w:tcPr>
          <w:p>
            <w:pPr>
              <w:pStyle w:val="18"/>
            </w:pPr>
            <w:r>
              <w:t>完善制度及实施方案健全程度</w:t>
            </w:r>
          </w:p>
        </w:tc>
        <w:tc>
          <w:tcPr>
            <w:tcW w:w="2835" w:type="dxa"/>
            <w:vAlign w:val="center"/>
          </w:tcPr>
          <w:p>
            <w:pPr>
              <w:pStyle w:val="18"/>
            </w:pPr>
            <w:r>
              <w:t>以后年度项目持续实施是否具备健全的制度保障</w:t>
            </w:r>
          </w:p>
        </w:tc>
        <w:tc>
          <w:tcPr>
            <w:tcW w:w="2551" w:type="dxa"/>
            <w:vAlign w:val="center"/>
          </w:tcPr>
          <w:p>
            <w:pPr>
              <w:pStyle w:val="18"/>
            </w:pPr>
            <w:r>
              <w:t>健全</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9"/>
            </w:pPr>
            <w:r>
              <w:t>满意度指标</w:t>
            </w:r>
          </w:p>
        </w:tc>
        <w:tc>
          <w:tcPr>
            <w:tcW w:w="2268" w:type="dxa"/>
            <w:vAlign w:val="center"/>
          </w:tcPr>
          <w:p>
            <w:pPr>
              <w:pStyle w:val="18"/>
            </w:pPr>
            <w:r>
              <w:t>服务对象满意度指标</w:t>
            </w:r>
          </w:p>
        </w:tc>
        <w:tc>
          <w:tcPr>
            <w:tcW w:w="2835" w:type="dxa"/>
            <w:vAlign w:val="center"/>
          </w:tcPr>
          <w:p>
            <w:pPr>
              <w:pStyle w:val="18"/>
            </w:pPr>
            <w:r>
              <w:t>办事群众对象满意度</w:t>
            </w:r>
          </w:p>
        </w:tc>
        <w:tc>
          <w:tcPr>
            <w:tcW w:w="2835" w:type="dxa"/>
            <w:vAlign w:val="center"/>
          </w:tcPr>
          <w:p>
            <w:pPr>
              <w:pStyle w:val="18"/>
            </w:pPr>
            <w:r>
              <w:t>调查中满意和较满意的群众人数占调查总人数的比率</w:t>
            </w:r>
          </w:p>
        </w:tc>
        <w:tc>
          <w:tcPr>
            <w:tcW w:w="2551" w:type="dxa"/>
            <w:vAlign w:val="center"/>
          </w:tcPr>
          <w:p>
            <w:pPr>
              <w:pStyle w:val="18"/>
            </w:pPr>
            <w:r>
              <w:t>≥95%</w:t>
            </w:r>
          </w:p>
        </w:tc>
        <w:tc>
          <w:tcPr>
            <w:tcW w:w="2268" w:type="dxa"/>
            <w:vAlign w:val="center"/>
          </w:tcPr>
          <w:p>
            <w:pPr>
              <w:pStyle w:val="18"/>
            </w:pPr>
            <w:r>
              <w:t>调查问卷</w:t>
            </w:r>
          </w:p>
        </w:tc>
      </w:tr>
    </w:tbl>
    <w:p>
      <w:pPr>
        <w:sectPr>
          <w:pgSz w:w="16840" w:h="11900" w:orient="landscape"/>
          <w:pgMar w:top="1361" w:right="1020" w:bottom="1134" w:left="1020" w:header="720" w:footer="720" w:gutter="0"/>
          <w:cols w:space="720" w:num="1"/>
        </w:sectPr>
      </w:pPr>
    </w:p>
    <w:p>
      <w:pPr>
        <w:ind w:firstLine="560"/>
      </w:pPr>
      <w:r>
        <w:rPr>
          <w:rFonts w:ascii="方正仿宋_GBK" w:hAnsi="方正仿宋_GBK" w:eastAsia="方正仿宋_GBK" w:cs="方正仿宋_GBK"/>
          <w:b/>
          <w:color w:val="000000"/>
          <w:sz w:val="28"/>
        </w:rPr>
        <w:t>9、消防审验技术服务费绩效目标表</w:t>
      </w:r>
    </w:p>
    <w:tbl>
      <w:tblPr>
        <w:tblStyle w:val="8"/>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16"/>
            </w:pPr>
            <w:r>
              <w:t>绩效目标</w:t>
            </w:r>
          </w:p>
        </w:tc>
        <w:tc>
          <w:tcPr>
            <w:tcW w:w="12756" w:type="dxa"/>
            <w:tcBorders>
              <w:bottom w:val="single" w:color="FFFFFF" w:sz="6" w:space="0"/>
            </w:tcBorders>
            <w:vAlign w:val="center"/>
          </w:tcPr>
          <w:p>
            <w:pPr>
              <w:pStyle w:val="18"/>
            </w:pPr>
            <w:r>
              <w:t>1.为进一步优化营商环境，提升我县建设工程消防审批的服务水平</w:t>
            </w:r>
          </w:p>
          <w:p>
            <w:pPr>
              <w:pStyle w:val="18"/>
            </w:pPr>
            <w:r>
              <w:t>2.保证建设工程消防设计和施工质量，最大限度提高我县的消防审验管理水平</w:t>
            </w:r>
          </w:p>
          <w:p>
            <w:pPr>
              <w:pStyle w:val="18"/>
            </w:pPr>
            <w:r>
              <w:t>3.保证建设工程消防设计、施工质量，最大限度地减少建设工程先天性消防隐患。</w:t>
            </w:r>
          </w:p>
        </w:tc>
      </w:tr>
    </w:tbl>
    <w:p>
      <w:pPr>
        <w:spacing w:line="2" w:lineRule="exact"/>
        <w:jc w:val="cente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16"/>
            </w:pPr>
            <w:r>
              <w:t>一级指标</w:t>
            </w:r>
          </w:p>
        </w:tc>
        <w:tc>
          <w:tcPr>
            <w:tcW w:w="2268" w:type="dxa"/>
            <w:vAlign w:val="center"/>
          </w:tcPr>
          <w:p>
            <w:pPr>
              <w:pStyle w:val="16"/>
            </w:pPr>
            <w:r>
              <w:t>二级指标</w:t>
            </w:r>
          </w:p>
        </w:tc>
        <w:tc>
          <w:tcPr>
            <w:tcW w:w="2835" w:type="dxa"/>
            <w:vAlign w:val="center"/>
          </w:tcPr>
          <w:p>
            <w:pPr>
              <w:pStyle w:val="16"/>
            </w:pPr>
            <w:r>
              <w:t>三级指标</w:t>
            </w:r>
          </w:p>
        </w:tc>
        <w:tc>
          <w:tcPr>
            <w:tcW w:w="2835" w:type="dxa"/>
            <w:vAlign w:val="center"/>
          </w:tcPr>
          <w:p>
            <w:pPr>
              <w:pStyle w:val="16"/>
            </w:pPr>
            <w:r>
              <w:t>绩效指标描述</w:t>
            </w:r>
          </w:p>
        </w:tc>
        <w:tc>
          <w:tcPr>
            <w:tcW w:w="2551" w:type="dxa"/>
            <w:vAlign w:val="center"/>
          </w:tcPr>
          <w:p>
            <w:pPr>
              <w:pStyle w:val="16"/>
            </w:pPr>
            <w:r>
              <w:t>指标值</w:t>
            </w:r>
          </w:p>
        </w:tc>
        <w:tc>
          <w:tcPr>
            <w:tcW w:w="2268" w:type="dxa"/>
            <w:vAlign w:val="center"/>
          </w:tcPr>
          <w:p>
            <w:pPr>
              <w:pStyle w:val="16"/>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产出指标</w:t>
            </w:r>
          </w:p>
        </w:tc>
        <w:tc>
          <w:tcPr>
            <w:tcW w:w="2268" w:type="dxa"/>
            <w:vAlign w:val="center"/>
          </w:tcPr>
          <w:p>
            <w:pPr>
              <w:pStyle w:val="18"/>
            </w:pPr>
            <w:r>
              <w:t>数量指标</w:t>
            </w:r>
          </w:p>
        </w:tc>
        <w:tc>
          <w:tcPr>
            <w:tcW w:w="2835" w:type="dxa"/>
            <w:vAlign w:val="center"/>
          </w:tcPr>
          <w:p>
            <w:pPr>
              <w:pStyle w:val="18"/>
            </w:pPr>
            <w:r>
              <w:t>技术服务完成率</w:t>
            </w:r>
          </w:p>
        </w:tc>
        <w:tc>
          <w:tcPr>
            <w:tcW w:w="2835" w:type="dxa"/>
            <w:vAlign w:val="center"/>
          </w:tcPr>
          <w:p>
            <w:pPr>
              <w:pStyle w:val="18"/>
            </w:pPr>
            <w:r>
              <w:t>完成技术服务项目数量</w:t>
            </w:r>
          </w:p>
        </w:tc>
        <w:tc>
          <w:tcPr>
            <w:tcW w:w="2551" w:type="dxa"/>
            <w:vAlign w:val="center"/>
          </w:tcPr>
          <w:p>
            <w:pPr>
              <w:pStyle w:val="18"/>
            </w:pPr>
            <w:r>
              <w:t>≥11个</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质量指标</w:t>
            </w:r>
          </w:p>
        </w:tc>
        <w:tc>
          <w:tcPr>
            <w:tcW w:w="2835" w:type="dxa"/>
            <w:vAlign w:val="center"/>
          </w:tcPr>
          <w:p>
            <w:pPr>
              <w:pStyle w:val="18"/>
            </w:pPr>
            <w:r>
              <w:t>技术服务合格率</w:t>
            </w:r>
          </w:p>
        </w:tc>
        <w:tc>
          <w:tcPr>
            <w:tcW w:w="2835" w:type="dxa"/>
            <w:vAlign w:val="center"/>
          </w:tcPr>
          <w:p>
            <w:pPr>
              <w:pStyle w:val="18"/>
            </w:pPr>
            <w:r>
              <w:t>对消防审验技术服务满足消防审验工作要求</w:t>
            </w:r>
          </w:p>
        </w:tc>
        <w:tc>
          <w:tcPr>
            <w:tcW w:w="2551" w:type="dxa"/>
            <w:vAlign w:val="center"/>
          </w:tcPr>
          <w:p>
            <w:pPr>
              <w:pStyle w:val="18"/>
            </w:pPr>
            <w:r>
              <w:t>100%</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时效指标</w:t>
            </w:r>
          </w:p>
        </w:tc>
        <w:tc>
          <w:tcPr>
            <w:tcW w:w="2835" w:type="dxa"/>
            <w:vAlign w:val="center"/>
          </w:tcPr>
          <w:p>
            <w:pPr>
              <w:pStyle w:val="18"/>
            </w:pPr>
            <w:r>
              <w:t>按时完成</w:t>
            </w:r>
          </w:p>
        </w:tc>
        <w:tc>
          <w:tcPr>
            <w:tcW w:w="2835" w:type="dxa"/>
            <w:vAlign w:val="center"/>
          </w:tcPr>
          <w:p>
            <w:pPr>
              <w:pStyle w:val="18"/>
            </w:pPr>
            <w:r>
              <w:t>2022年底之前完成</w:t>
            </w:r>
          </w:p>
        </w:tc>
        <w:tc>
          <w:tcPr>
            <w:tcW w:w="2551" w:type="dxa"/>
            <w:vAlign w:val="center"/>
          </w:tcPr>
          <w:p>
            <w:pPr>
              <w:pStyle w:val="18"/>
            </w:pPr>
            <w:r>
              <w:t>12月31日前完成</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成本指标</w:t>
            </w:r>
          </w:p>
        </w:tc>
        <w:tc>
          <w:tcPr>
            <w:tcW w:w="2835" w:type="dxa"/>
            <w:vAlign w:val="center"/>
          </w:tcPr>
          <w:p>
            <w:pPr>
              <w:pStyle w:val="18"/>
            </w:pPr>
            <w:r>
              <w:t>项目成本控制</w:t>
            </w:r>
          </w:p>
        </w:tc>
        <w:tc>
          <w:tcPr>
            <w:tcW w:w="2835" w:type="dxa"/>
            <w:vAlign w:val="center"/>
          </w:tcPr>
          <w:p>
            <w:pPr>
              <w:pStyle w:val="18"/>
            </w:pPr>
            <w:r>
              <w:t>控制在预算范围之内</w:t>
            </w:r>
          </w:p>
        </w:tc>
        <w:tc>
          <w:tcPr>
            <w:tcW w:w="2551" w:type="dxa"/>
            <w:vAlign w:val="center"/>
          </w:tcPr>
          <w:p>
            <w:pPr>
              <w:pStyle w:val="18"/>
            </w:pPr>
            <w:r>
              <w:t>≤30万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19"/>
            </w:pPr>
            <w:r>
              <w:t>效益指标</w:t>
            </w:r>
          </w:p>
        </w:tc>
        <w:tc>
          <w:tcPr>
            <w:tcW w:w="2268" w:type="dxa"/>
            <w:vAlign w:val="center"/>
          </w:tcPr>
          <w:p>
            <w:pPr>
              <w:pStyle w:val="18"/>
            </w:pPr>
            <w:r>
              <w:t>社会效益指标</w:t>
            </w:r>
          </w:p>
        </w:tc>
        <w:tc>
          <w:tcPr>
            <w:tcW w:w="2835" w:type="dxa"/>
            <w:vAlign w:val="center"/>
          </w:tcPr>
          <w:p>
            <w:pPr>
              <w:pStyle w:val="18"/>
            </w:pPr>
            <w:r>
              <w:t>　提高政务服务办事效率</w:t>
            </w:r>
          </w:p>
        </w:tc>
        <w:tc>
          <w:tcPr>
            <w:tcW w:w="2835" w:type="dxa"/>
            <w:vAlign w:val="center"/>
          </w:tcPr>
          <w:p>
            <w:pPr>
              <w:pStyle w:val="18"/>
            </w:pPr>
            <w:r>
              <w:t>处理业务及时、高效、服务群众　</w:t>
            </w:r>
          </w:p>
        </w:tc>
        <w:tc>
          <w:tcPr>
            <w:tcW w:w="2551" w:type="dxa"/>
            <w:vAlign w:val="center"/>
          </w:tcPr>
          <w:p>
            <w:pPr>
              <w:pStyle w:val="18"/>
            </w:pPr>
            <w:r>
              <w:t>比上一年度提升</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18"/>
            </w:pPr>
            <w:r>
              <w:t>可持续影响指标</w:t>
            </w:r>
          </w:p>
        </w:tc>
        <w:tc>
          <w:tcPr>
            <w:tcW w:w="2835" w:type="dxa"/>
            <w:vAlign w:val="center"/>
          </w:tcPr>
          <w:p>
            <w:pPr>
              <w:pStyle w:val="18"/>
            </w:pPr>
            <w:r>
              <w:t>完善制度及实施方案健全程度</w:t>
            </w:r>
          </w:p>
        </w:tc>
        <w:tc>
          <w:tcPr>
            <w:tcW w:w="2835" w:type="dxa"/>
            <w:vAlign w:val="center"/>
          </w:tcPr>
          <w:p>
            <w:pPr>
              <w:pStyle w:val="18"/>
            </w:pPr>
            <w:r>
              <w:t>以后年度项目持续实施是否具备健全的制度保障</w:t>
            </w:r>
          </w:p>
        </w:tc>
        <w:tc>
          <w:tcPr>
            <w:tcW w:w="2551" w:type="dxa"/>
            <w:vAlign w:val="center"/>
          </w:tcPr>
          <w:p>
            <w:pPr>
              <w:pStyle w:val="18"/>
            </w:pPr>
            <w:r>
              <w:t>健全</w:t>
            </w:r>
          </w:p>
        </w:tc>
        <w:tc>
          <w:tcPr>
            <w:tcW w:w="2268" w:type="dxa"/>
            <w:vAlign w:val="center"/>
          </w:tcPr>
          <w:p>
            <w:pPr>
              <w:pStyle w:val="18"/>
            </w:pPr>
            <w: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19"/>
            </w:pPr>
            <w:r>
              <w:t>满意度指标</w:t>
            </w:r>
          </w:p>
        </w:tc>
        <w:tc>
          <w:tcPr>
            <w:tcW w:w="2268" w:type="dxa"/>
            <w:vAlign w:val="center"/>
          </w:tcPr>
          <w:p>
            <w:pPr>
              <w:pStyle w:val="18"/>
            </w:pPr>
            <w:r>
              <w:t>服务对象满意度指标</w:t>
            </w:r>
          </w:p>
        </w:tc>
        <w:tc>
          <w:tcPr>
            <w:tcW w:w="2835" w:type="dxa"/>
            <w:vAlign w:val="center"/>
          </w:tcPr>
          <w:p>
            <w:pPr>
              <w:pStyle w:val="18"/>
            </w:pPr>
            <w:r>
              <w:t>办事群众对象满意度</w:t>
            </w:r>
          </w:p>
        </w:tc>
        <w:tc>
          <w:tcPr>
            <w:tcW w:w="2835" w:type="dxa"/>
            <w:vAlign w:val="center"/>
          </w:tcPr>
          <w:p>
            <w:pPr>
              <w:pStyle w:val="18"/>
            </w:pPr>
            <w:r>
              <w:t>调查中满意和较满意的群众人数占调查总人数的比率</w:t>
            </w:r>
          </w:p>
        </w:tc>
        <w:tc>
          <w:tcPr>
            <w:tcW w:w="2551" w:type="dxa"/>
            <w:vAlign w:val="center"/>
          </w:tcPr>
          <w:p>
            <w:pPr>
              <w:pStyle w:val="18"/>
            </w:pPr>
            <w:r>
              <w:t>≥90%</w:t>
            </w:r>
          </w:p>
        </w:tc>
        <w:tc>
          <w:tcPr>
            <w:tcW w:w="2268" w:type="dxa"/>
            <w:vAlign w:val="center"/>
          </w:tcPr>
          <w:p>
            <w:pPr>
              <w:pStyle w:val="18"/>
            </w:pPr>
            <w:r>
              <w:t>调查问卷</w:t>
            </w:r>
          </w:p>
        </w:tc>
      </w:tr>
    </w:tbl>
    <w:p>
      <w:pPr>
        <w:sectPr>
          <w:pgSz w:w="16840" w:h="11900" w:orient="landscape"/>
          <w:pgMar w:top="1361" w:right="1020" w:bottom="1134" w:left="1020" w:header="720" w:footer="720" w:gutter="0"/>
          <w:cols w:space="720" w:num="1"/>
        </w:sectPr>
      </w:pPr>
    </w:p>
    <w:p>
      <w:pPr>
        <w:autoSpaceDE w:val="0"/>
        <w:autoSpaceDN w:val="0"/>
        <w:adjustRightInd w:val="0"/>
        <w:spacing w:line="584" w:lineRule="exact"/>
        <w:jc w:val="left"/>
        <w:rPr>
          <w:rFonts w:ascii="Times New Roman" w:hAnsi="黑体" w:eastAsia="黑体" w:cs="Times New Roman"/>
          <w:color w:val="FF0000"/>
          <w:sz w:val="44"/>
          <w:szCs w:val="44"/>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六、政府采购预算情况</w:t>
      </w:r>
    </w:p>
    <w:p>
      <w:pPr>
        <w:spacing w:line="584" w:lineRule="exact"/>
        <w:ind w:firstLine="640" w:firstLineChars="200"/>
        <w:outlineLvl w:val="0"/>
        <w:rPr>
          <w:rFonts w:ascii="Times New Roman" w:hAnsi="Times New Roman" w:eastAsia="仿宋_GB2312" w:cs="Times New Roman"/>
          <w:sz w:val="32"/>
          <w:szCs w:val="24"/>
        </w:rPr>
      </w:pPr>
      <w:bookmarkStart w:id="0" w:name="_Toc471398468"/>
      <w:r>
        <w:rPr>
          <w:rFonts w:ascii="Times New Roman" w:hAnsi="Times New Roman" w:eastAsia="仿宋_GB2312" w:cs="Times New Roman"/>
          <w:sz w:val="32"/>
          <w:szCs w:val="24"/>
        </w:rPr>
        <w:t>20</w:t>
      </w:r>
      <w:r>
        <w:rPr>
          <w:rFonts w:hint="eastAsia" w:ascii="Times New Roman" w:hAnsi="Times New Roman" w:eastAsia="仿宋_GB2312" w:cs="Times New Roman"/>
          <w:sz w:val="32"/>
          <w:szCs w:val="24"/>
        </w:rPr>
        <w:t>2</w:t>
      </w:r>
      <w:r>
        <w:rPr>
          <w:rFonts w:ascii="Times New Roman" w:hAnsi="Times New Roman" w:eastAsia="仿宋_GB2312" w:cs="Times New Roman"/>
          <w:sz w:val="32"/>
          <w:szCs w:val="24"/>
        </w:rPr>
        <w:t>2年，我部门安排政府采购预算</w:t>
      </w:r>
      <w:r>
        <w:rPr>
          <w:rFonts w:hint="eastAsia" w:ascii="Times New Roman" w:hAnsi="Times New Roman" w:eastAsia="仿宋_GB2312" w:cs="Times New Roman"/>
          <w:sz w:val="32"/>
          <w:szCs w:val="24"/>
        </w:rPr>
        <w:t>737.00</w:t>
      </w:r>
      <w:r>
        <w:rPr>
          <w:rFonts w:ascii="Times New Roman" w:hAnsi="Times New Roman" w:eastAsia="仿宋_GB2312" w:cs="Times New Roman"/>
          <w:sz w:val="32"/>
          <w:szCs w:val="24"/>
        </w:rPr>
        <w:t>万元。具体内容见下表。</w:t>
      </w:r>
    </w:p>
    <w:bookmarkEnd w:id="0"/>
    <w:p>
      <w:pPr>
        <w:spacing w:line="584" w:lineRule="exact"/>
        <w:jc w:val="left"/>
        <w:outlineLvl w:val="0"/>
        <w:rPr>
          <w:rFonts w:ascii="Times New Roman" w:hAnsi="Times New Roman" w:eastAsia="仿宋_GB2312" w:cs="Times New Roman"/>
        </w:rPr>
      </w:pPr>
    </w:p>
    <w:p>
      <w:pPr>
        <w:jc w:val="center"/>
        <w:outlineLvl w:val="1"/>
        <w:rPr>
          <w:rFonts w:ascii="方正小标宋_GBK" w:eastAsia="方正小标宋_GBK" w:cs="Times New Roman"/>
          <w:sz w:val="32"/>
        </w:rPr>
      </w:pPr>
      <w:bookmarkStart w:id="1" w:name="_Toc64920910"/>
      <w:r>
        <w:rPr>
          <w:rFonts w:hint="eastAsia" w:ascii="方正小标宋_GBK" w:eastAsia="方正小标宋_GBK" w:cs="Times New Roman"/>
          <w:sz w:val="32"/>
        </w:rPr>
        <w:t>部门政府采购预算</w:t>
      </w:r>
      <w:bookmarkEnd w:id="1"/>
    </w:p>
    <w:p>
      <w:pPr>
        <w:outlineLvl w:val="1"/>
        <w:rPr>
          <w:rFonts w:ascii="方正小标宋_GBK" w:eastAsia="方正小标宋_GBK" w:cs="Times New Roman"/>
          <w:sz w:val="32"/>
        </w:rPr>
      </w:pPr>
      <w:r>
        <w:rPr>
          <w:rFonts w:hint="eastAsia"/>
        </w:rPr>
        <w:t>永清县行政审批局</w:t>
      </w:r>
      <w:r>
        <w:t xml:space="preserve">                                                                                                           单位：万元</w:t>
      </w:r>
    </w:p>
    <w:tbl>
      <w:tblPr>
        <w:tblStyle w:val="8"/>
        <w:tblW w:w="1541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7"/>
        <w:gridCol w:w="964"/>
        <w:gridCol w:w="1134"/>
        <w:gridCol w:w="1134"/>
        <w:gridCol w:w="709"/>
        <w:gridCol w:w="501"/>
        <w:gridCol w:w="1067"/>
        <w:gridCol w:w="1096"/>
        <w:gridCol w:w="964"/>
        <w:gridCol w:w="964"/>
        <w:gridCol w:w="964"/>
        <w:gridCol w:w="964"/>
        <w:gridCol w:w="964"/>
        <w:gridCol w:w="964"/>
        <w:gridCol w:w="964"/>
        <w:gridCol w:w="9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061" w:type="dxa"/>
            <w:gridSpan w:val="2"/>
            <w:vAlign w:val="center"/>
          </w:tcPr>
          <w:p>
            <w:pPr>
              <w:pStyle w:val="16"/>
            </w:pPr>
            <w:r>
              <w:t>政府采购项目来源</w:t>
            </w:r>
          </w:p>
        </w:tc>
        <w:tc>
          <w:tcPr>
            <w:tcW w:w="1134" w:type="dxa"/>
            <w:vMerge w:val="restart"/>
            <w:vAlign w:val="center"/>
          </w:tcPr>
          <w:p>
            <w:pPr>
              <w:pStyle w:val="16"/>
            </w:pPr>
            <w:r>
              <w:t>采购物品名称</w:t>
            </w:r>
          </w:p>
        </w:tc>
        <w:tc>
          <w:tcPr>
            <w:tcW w:w="1134" w:type="dxa"/>
            <w:vMerge w:val="restart"/>
            <w:vAlign w:val="center"/>
          </w:tcPr>
          <w:p>
            <w:pPr>
              <w:pStyle w:val="16"/>
            </w:pPr>
            <w:r>
              <w:t>政府采购目录序号</w:t>
            </w:r>
          </w:p>
        </w:tc>
        <w:tc>
          <w:tcPr>
            <w:tcW w:w="709" w:type="dxa"/>
            <w:vMerge w:val="restart"/>
            <w:vAlign w:val="center"/>
          </w:tcPr>
          <w:p>
            <w:pPr>
              <w:pStyle w:val="16"/>
            </w:pPr>
            <w:r>
              <w:t>计量  单位</w:t>
            </w:r>
          </w:p>
        </w:tc>
        <w:tc>
          <w:tcPr>
            <w:tcW w:w="501" w:type="dxa"/>
            <w:vMerge w:val="restart"/>
            <w:vAlign w:val="center"/>
          </w:tcPr>
          <w:p>
            <w:pPr>
              <w:pStyle w:val="16"/>
            </w:pPr>
            <w:r>
              <w:t>数量</w:t>
            </w:r>
          </w:p>
        </w:tc>
        <w:tc>
          <w:tcPr>
            <w:tcW w:w="1067" w:type="dxa"/>
            <w:vMerge w:val="restart"/>
            <w:vAlign w:val="center"/>
          </w:tcPr>
          <w:p>
            <w:pPr>
              <w:pStyle w:val="16"/>
            </w:pPr>
            <w:r>
              <w:t>单价</w:t>
            </w:r>
          </w:p>
        </w:tc>
        <w:tc>
          <w:tcPr>
            <w:tcW w:w="7844" w:type="dxa"/>
            <w:gridSpan w:val="8"/>
            <w:vAlign w:val="center"/>
          </w:tcPr>
          <w:p>
            <w:pPr>
              <w:pStyle w:val="16"/>
            </w:pPr>
            <w:r>
              <w:t>政府采购金额（当年部门预算安排资金）</w:t>
            </w:r>
          </w:p>
        </w:tc>
        <w:tc>
          <w:tcPr>
            <w:tcW w:w="964" w:type="dxa"/>
            <w:vMerge w:val="restart"/>
            <w:vAlign w:val="center"/>
          </w:tcPr>
          <w:p>
            <w:pPr>
              <w:pStyle w:val="16"/>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097" w:type="dxa"/>
            <w:vAlign w:val="center"/>
          </w:tcPr>
          <w:p>
            <w:pPr>
              <w:pStyle w:val="16"/>
            </w:pPr>
            <w:r>
              <w:t>项目名称</w:t>
            </w:r>
          </w:p>
        </w:tc>
        <w:tc>
          <w:tcPr>
            <w:tcW w:w="964" w:type="dxa"/>
            <w:vAlign w:val="center"/>
          </w:tcPr>
          <w:p>
            <w:pPr>
              <w:pStyle w:val="16"/>
            </w:pPr>
            <w:r>
              <w:t>预算    资金</w:t>
            </w:r>
          </w:p>
        </w:tc>
        <w:tc>
          <w:tcPr>
            <w:tcW w:w="1134" w:type="dxa"/>
            <w:vMerge w:val="continue"/>
          </w:tcPr>
          <w:p/>
        </w:tc>
        <w:tc>
          <w:tcPr>
            <w:tcW w:w="1134" w:type="dxa"/>
            <w:vMerge w:val="continue"/>
          </w:tcPr>
          <w:p/>
        </w:tc>
        <w:tc>
          <w:tcPr>
            <w:tcW w:w="709" w:type="dxa"/>
            <w:vMerge w:val="continue"/>
          </w:tcPr>
          <w:p/>
        </w:tc>
        <w:tc>
          <w:tcPr>
            <w:tcW w:w="501" w:type="dxa"/>
            <w:vMerge w:val="continue"/>
          </w:tcPr>
          <w:p/>
        </w:tc>
        <w:tc>
          <w:tcPr>
            <w:tcW w:w="1067" w:type="dxa"/>
            <w:vMerge w:val="continue"/>
          </w:tcPr>
          <w:p/>
        </w:tc>
        <w:tc>
          <w:tcPr>
            <w:tcW w:w="1096" w:type="dxa"/>
            <w:vAlign w:val="center"/>
          </w:tcPr>
          <w:p>
            <w:pPr>
              <w:pStyle w:val="16"/>
            </w:pPr>
            <w:r>
              <w:t>合计</w:t>
            </w:r>
          </w:p>
        </w:tc>
        <w:tc>
          <w:tcPr>
            <w:tcW w:w="964" w:type="dxa"/>
            <w:vAlign w:val="center"/>
          </w:tcPr>
          <w:p>
            <w:pPr>
              <w:pStyle w:val="16"/>
            </w:pPr>
            <w:r>
              <w:t>一般公共预算拨款</w:t>
            </w:r>
          </w:p>
        </w:tc>
        <w:tc>
          <w:tcPr>
            <w:tcW w:w="964" w:type="dxa"/>
            <w:vAlign w:val="center"/>
          </w:tcPr>
          <w:p>
            <w:pPr>
              <w:pStyle w:val="16"/>
            </w:pPr>
            <w:r>
              <w:t>基金预算拨款</w:t>
            </w:r>
          </w:p>
        </w:tc>
        <w:tc>
          <w:tcPr>
            <w:tcW w:w="964" w:type="dxa"/>
            <w:vAlign w:val="center"/>
          </w:tcPr>
          <w:p>
            <w:pPr>
              <w:pStyle w:val="16"/>
            </w:pPr>
            <w:r>
              <w:t>国有资本经营预算拨款</w:t>
            </w:r>
          </w:p>
        </w:tc>
        <w:tc>
          <w:tcPr>
            <w:tcW w:w="964" w:type="dxa"/>
            <w:vAlign w:val="center"/>
          </w:tcPr>
          <w:p>
            <w:pPr>
              <w:pStyle w:val="16"/>
            </w:pPr>
            <w:r>
              <w:t>财政专户核拨</w:t>
            </w:r>
          </w:p>
        </w:tc>
        <w:tc>
          <w:tcPr>
            <w:tcW w:w="964" w:type="dxa"/>
            <w:vAlign w:val="center"/>
          </w:tcPr>
          <w:p>
            <w:pPr>
              <w:pStyle w:val="16"/>
            </w:pPr>
            <w:r>
              <w:t>单位    资金</w:t>
            </w:r>
          </w:p>
        </w:tc>
        <w:tc>
          <w:tcPr>
            <w:tcW w:w="964" w:type="dxa"/>
            <w:vAlign w:val="center"/>
          </w:tcPr>
          <w:p>
            <w:pPr>
              <w:pStyle w:val="16"/>
            </w:pPr>
            <w:r>
              <w:t>财政拨    款结转</w:t>
            </w:r>
          </w:p>
        </w:tc>
        <w:tc>
          <w:tcPr>
            <w:tcW w:w="964" w:type="dxa"/>
            <w:vAlign w:val="center"/>
          </w:tcPr>
          <w:p>
            <w:pPr>
              <w:pStyle w:val="16"/>
            </w:pPr>
            <w:r>
              <w:t>非财政    拨款结    转结余</w:t>
            </w:r>
          </w:p>
        </w:tc>
        <w:tc>
          <w:tcPr>
            <w:tcW w:w="96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pPr>
              <w:pStyle w:val="20"/>
            </w:pPr>
            <w:r>
              <w:t>合  计</w:t>
            </w:r>
          </w:p>
        </w:tc>
        <w:tc>
          <w:tcPr>
            <w:tcW w:w="964" w:type="dxa"/>
            <w:vAlign w:val="center"/>
          </w:tcPr>
          <w:p>
            <w:pPr>
              <w:pStyle w:val="21"/>
              <w:rPr>
                <w:rFonts w:hint="default"/>
                <w:lang w:val="en-US" w:eastAsia="zh-CN"/>
              </w:rPr>
            </w:pPr>
            <w:r>
              <w:rPr>
                <w:rFonts w:hint="eastAsia"/>
                <w:lang w:val="en-US" w:eastAsia="zh-CN"/>
              </w:rPr>
              <w:t>737.00</w:t>
            </w:r>
          </w:p>
        </w:tc>
        <w:tc>
          <w:tcPr>
            <w:tcW w:w="1134" w:type="dxa"/>
            <w:vAlign w:val="center"/>
          </w:tcPr>
          <w:p>
            <w:pPr>
              <w:pStyle w:val="22"/>
            </w:pPr>
          </w:p>
        </w:tc>
        <w:tc>
          <w:tcPr>
            <w:tcW w:w="1134" w:type="dxa"/>
            <w:vAlign w:val="center"/>
          </w:tcPr>
          <w:p>
            <w:pPr>
              <w:pStyle w:val="22"/>
            </w:pPr>
          </w:p>
        </w:tc>
        <w:tc>
          <w:tcPr>
            <w:tcW w:w="709" w:type="dxa"/>
            <w:vAlign w:val="center"/>
          </w:tcPr>
          <w:p>
            <w:pPr>
              <w:pStyle w:val="20"/>
            </w:pPr>
          </w:p>
        </w:tc>
        <w:tc>
          <w:tcPr>
            <w:tcW w:w="501" w:type="dxa"/>
            <w:vAlign w:val="center"/>
          </w:tcPr>
          <w:p>
            <w:pPr>
              <w:pStyle w:val="21"/>
            </w:pPr>
          </w:p>
        </w:tc>
        <w:tc>
          <w:tcPr>
            <w:tcW w:w="1067" w:type="dxa"/>
            <w:vAlign w:val="center"/>
          </w:tcPr>
          <w:p>
            <w:pPr>
              <w:pStyle w:val="21"/>
            </w:pPr>
          </w:p>
        </w:tc>
        <w:tc>
          <w:tcPr>
            <w:tcW w:w="1096" w:type="dxa"/>
            <w:vAlign w:val="center"/>
          </w:tcPr>
          <w:p>
            <w:pPr>
              <w:pStyle w:val="21"/>
              <w:rPr>
                <w:lang w:eastAsia="zh-CN"/>
              </w:rPr>
            </w:pPr>
            <w:r>
              <w:rPr>
                <w:rFonts w:hint="eastAsia"/>
                <w:lang w:eastAsia="zh-CN"/>
              </w:rPr>
              <w:t>737.00</w:t>
            </w:r>
          </w:p>
        </w:tc>
        <w:tc>
          <w:tcPr>
            <w:tcW w:w="964" w:type="dxa"/>
            <w:vAlign w:val="center"/>
          </w:tcPr>
          <w:p>
            <w:pPr>
              <w:pStyle w:val="21"/>
              <w:rPr>
                <w:lang w:eastAsia="zh-CN"/>
              </w:rPr>
            </w:pPr>
            <w:r>
              <w:rPr>
                <w:rFonts w:hint="eastAsia"/>
                <w:lang w:eastAsia="zh-CN"/>
              </w:rPr>
              <w:t>737.00</w:t>
            </w: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rPr>
                <w:rFonts w:hint="default" w:eastAsia="方正书宋_GBK"/>
                <w:lang w:val="en-US" w:eastAsia="zh-CN"/>
              </w:rPr>
            </w:pPr>
            <w:r>
              <w:rPr>
                <w:rFonts w:hint="eastAsia"/>
                <w:lang w:val="en-US" w:eastAsia="zh-CN"/>
              </w:rPr>
              <w:t>737.00</w:t>
            </w:r>
            <w:bookmarkStart w:id="2" w:name="_GoBack"/>
            <w:bookmarkEnd w:id="2"/>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pPr>
              <w:pStyle w:val="20"/>
            </w:pPr>
            <w:r>
              <w:rPr>
                <w:rFonts w:hint="eastAsia"/>
              </w:rPr>
              <w:t>投资项目咨询评估服务</w:t>
            </w:r>
          </w:p>
        </w:tc>
        <w:tc>
          <w:tcPr>
            <w:tcW w:w="964" w:type="dxa"/>
            <w:vAlign w:val="center"/>
          </w:tcPr>
          <w:p>
            <w:pPr>
              <w:pStyle w:val="21"/>
              <w:rPr>
                <w:rFonts w:hint="default"/>
                <w:lang w:val="en-US" w:eastAsia="zh-CN"/>
              </w:rPr>
            </w:pPr>
            <w:r>
              <w:rPr>
                <w:rFonts w:hint="eastAsia"/>
                <w:lang w:val="en-US" w:eastAsia="zh-CN"/>
              </w:rPr>
              <w:t>40.00</w:t>
            </w:r>
          </w:p>
        </w:tc>
        <w:tc>
          <w:tcPr>
            <w:tcW w:w="1134" w:type="dxa"/>
            <w:vAlign w:val="center"/>
          </w:tcPr>
          <w:p>
            <w:pPr>
              <w:pStyle w:val="20"/>
              <w:rPr>
                <w:rFonts w:ascii="方正书宋_GBK" w:hAnsi="方正书宋_GBK" w:eastAsia="方正书宋_GBK" w:cs="方正书宋_GBK"/>
                <w:b/>
                <w:kern w:val="0"/>
                <w:sz w:val="21"/>
                <w:szCs w:val="24"/>
                <w:lang w:val="en-US" w:eastAsia="uk-UA" w:bidi="ar-SA"/>
              </w:rPr>
            </w:pPr>
            <w:r>
              <w:rPr>
                <w:rFonts w:hint="eastAsia"/>
              </w:rPr>
              <w:t>投资项目咨询评估服务</w:t>
            </w:r>
          </w:p>
        </w:tc>
        <w:tc>
          <w:tcPr>
            <w:tcW w:w="1134" w:type="dxa"/>
            <w:vAlign w:val="center"/>
          </w:tcPr>
          <w:p>
            <w:pPr>
              <w:pStyle w:val="22"/>
              <w:rPr>
                <w:rFonts w:hint="default" w:eastAsia="方正书宋_GBK"/>
                <w:lang w:val="en-US" w:eastAsia="zh-CN"/>
              </w:rPr>
            </w:pPr>
            <w:r>
              <w:rPr>
                <w:rFonts w:hint="eastAsia"/>
                <w:lang w:val="en-US" w:eastAsia="zh-CN"/>
              </w:rPr>
              <w:t>C2003</w:t>
            </w:r>
          </w:p>
        </w:tc>
        <w:tc>
          <w:tcPr>
            <w:tcW w:w="709" w:type="dxa"/>
            <w:vAlign w:val="center"/>
          </w:tcPr>
          <w:p>
            <w:pPr>
              <w:pStyle w:val="20"/>
              <w:rPr>
                <w:rFonts w:hint="eastAsia" w:eastAsia="方正书宋_GBK"/>
                <w:lang w:eastAsia="zh-CN"/>
              </w:rPr>
            </w:pPr>
            <w:r>
              <w:rPr>
                <w:rFonts w:hint="eastAsia"/>
                <w:lang w:eastAsia="zh-CN"/>
              </w:rPr>
              <w:t>个</w:t>
            </w:r>
          </w:p>
        </w:tc>
        <w:tc>
          <w:tcPr>
            <w:tcW w:w="501" w:type="dxa"/>
            <w:vAlign w:val="center"/>
          </w:tcPr>
          <w:p>
            <w:pPr>
              <w:pStyle w:val="21"/>
              <w:rPr>
                <w:rFonts w:hint="eastAsia" w:eastAsia="方正书宋_GBK"/>
                <w:lang w:val="en-US" w:eastAsia="zh-CN"/>
              </w:rPr>
            </w:pPr>
            <w:r>
              <w:rPr>
                <w:rFonts w:hint="eastAsia"/>
                <w:lang w:val="en-US" w:eastAsia="zh-CN"/>
              </w:rPr>
              <w:t>1</w:t>
            </w:r>
          </w:p>
        </w:tc>
        <w:tc>
          <w:tcPr>
            <w:tcW w:w="1067" w:type="dxa"/>
            <w:vAlign w:val="center"/>
          </w:tcPr>
          <w:p>
            <w:pPr>
              <w:pStyle w:val="21"/>
              <w:rPr>
                <w:rFonts w:ascii="方正书宋_GBK" w:hAnsi="方正书宋_GBK" w:eastAsia="方正书宋_GBK" w:cs="方正书宋_GBK"/>
                <w:b/>
                <w:kern w:val="0"/>
                <w:sz w:val="21"/>
                <w:szCs w:val="24"/>
                <w:lang w:val="en-US" w:eastAsia="zh-CN" w:bidi="ar-SA"/>
              </w:rPr>
            </w:pPr>
            <w:r>
              <w:rPr>
                <w:rFonts w:hint="eastAsia"/>
                <w:lang w:eastAsia="zh-CN"/>
              </w:rPr>
              <w:t>40.00</w:t>
            </w:r>
          </w:p>
        </w:tc>
        <w:tc>
          <w:tcPr>
            <w:tcW w:w="1096" w:type="dxa"/>
            <w:vAlign w:val="center"/>
          </w:tcPr>
          <w:p>
            <w:pPr>
              <w:pStyle w:val="21"/>
              <w:rPr>
                <w:lang w:eastAsia="zh-CN"/>
              </w:rPr>
            </w:pPr>
            <w:r>
              <w:rPr>
                <w:rFonts w:hint="eastAsia"/>
                <w:lang w:eastAsia="zh-CN"/>
              </w:rPr>
              <w:t>40.00</w:t>
            </w:r>
          </w:p>
        </w:tc>
        <w:tc>
          <w:tcPr>
            <w:tcW w:w="964" w:type="dxa"/>
            <w:vAlign w:val="center"/>
          </w:tcPr>
          <w:p>
            <w:pPr>
              <w:pStyle w:val="21"/>
              <w:rPr>
                <w:lang w:eastAsia="zh-CN"/>
              </w:rPr>
            </w:pPr>
            <w:r>
              <w:rPr>
                <w:rFonts w:hint="eastAsia"/>
                <w:lang w:eastAsia="zh-CN"/>
              </w:rPr>
              <w:t>40.00</w:t>
            </w: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rPr>
                <w:rFonts w:ascii="方正书宋_GBK" w:hAnsi="方正书宋_GBK" w:eastAsia="方正书宋_GBK" w:cs="方正书宋_GBK"/>
                <w:b/>
                <w:kern w:val="0"/>
                <w:sz w:val="21"/>
                <w:szCs w:val="24"/>
                <w:lang w:val="en-US" w:eastAsia="zh-CN" w:bidi="ar-SA"/>
              </w:rPr>
            </w:pPr>
            <w:r>
              <w:rPr>
                <w:rFonts w:hint="eastAsia"/>
                <w:lang w:eastAsia="zh-CN"/>
              </w:rPr>
              <w:t>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pPr>
              <w:pStyle w:val="20"/>
            </w:pPr>
            <w:r>
              <w:rPr>
                <w:rFonts w:hint="eastAsia"/>
              </w:rPr>
              <w:t>消防审验技术服务</w:t>
            </w:r>
          </w:p>
        </w:tc>
        <w:tc>
          <w:tcPr>
            <w:tcW w:w="964" w:type="dxa"/>
            <w:vAlign w:val="center"/>
          </w:tcPr>
          <w:p>
            <w:pPr>
              <w:pStyle w:val="21"/>
              <w:rPr>
                <w:rFonts w:hint="default"/>
                <w:lang w:val="en-US" w:eastAsia="zh-CN"/>
              </w:rPr>
            </w:pPr>
            <w:r>
              <w:rPr>
                <w:rFonts w:hint="eastAsia"/>
                <w:lang w:val="en-US" w:eastAsia="zh-CN"/>
              </w:rPr>
              <w:t>30.00</w:t>
            </w:r>
          </w:p>
        </w:tc>
        <w:tc>
          <w:tcPr>
            <w:tcW w:w="1134" w:type="dxa"/>
            <w:vAlign w:val="center"/>
          </w:tcPr>
          <w:p>
            <w:pPr>
              <w:pStyle w:val="20"/>
              <w:rPr>
                <w:rFonts w:ascii="方正书宋_GBK" w:hAnsi="方正书宋_GBK" w:eastAsia="方正书宋_GBK" w:cs="方正书宋_GBK"/>
                <w:b/>
                <w:kern w:val="0"/>
                <w:sz w:val="21"/>
                <w:szCs w:val="24"/>
                <w:lang w:val="en-US" w:eastAsia="uk-UA" w:bidi="ar-SA"/>
              </w:rPr>
            </w:pPr>
            <w:r>
              <w:rPr>
                <w:rFonts w:hint="eastAsia"/>
              </w:rPr>
              <w:t>消防审验技术服务</w:t>
            </w:r>
          </w:p>
        </w:tc>
        <w:tc>
          <w:tcPr>
            <w:tcW w:w="1134" w:type="dxa"/>
            <w:vAlign w:val="center"/>
          </w:tcPr>
          <w:p>
            <w:pPr>
              <w:pStyle w:val="22"/>
              <w:rPr>
                <w:rFonts w:hint="default" w:eastAsia="方正书宋_GBK"/>
                <w:lang w:val="en-US" w:eastAsia="zh-CN"/>
              </w:rPr>
            </w:pPr>
            <w:r>
              <w:rPr>
                <w:rFonts w:hint="eastAsia"/>
                <w:lang w:val="en-US" w:eastAsia="zh-CN"/>
              </w:rPr>
              <w:t>C2003</w:t>
            </w:r>
          </w:p>
        </w:tc>
        <w:tc>
          <w:tcPr>
            <w:tcW w:w="709" w:type="dxa"/>
            <w:vAlign w:val="center"/>
          </w:tcPr>
          <w:p>
            <w:pPr>
              <w:pStyle w:val="20"/>
              <w:rPr>
                <w:rFonts w:hint="eastAsia" w:ascii="方正书宋_GBK" w:hAnsi="方正书宋_GBK" w:eastAsia="方正书宋_GBK" w:cs="方正书宋_GBK"/>
                <w:b/>
                <w:kern w:val="0"/>
                <w:sz w:val="21"/>
                <w:szCs w:val="24"/>
                <w:lang w:val="en-US" w:eastAsia="zh-CN" w:bidi="ar-SA"/>
              </w:rPr>
            </w:pPr>
            <w:r>
              <w:rPr>
                <w:rFonts w:hint="eastAsia"/>
                <w:lang w:eastAsia="zh-CN"/>
              </w:rPr>
              <w:t>个</w:t>
            </w:r>
          </w:p>
        </w:tc>
        <w:tc>
          <w:tcPr>
            <w:tcW w:w="501" w:type="dxa"/>
            <w:vAlign w:val="center"/>
          </w:tcPr>
          <w:p>
            <w:pPr>
              <w:pStyle w:val="21"/>
              <w:rPr>
                <w:rFonts w:hint="eastAsia" w:ascii="方正书宋_GBK" w:hAnsi="方正书宋_GBK" w:eastAsia="方正书宋_GBK" w:cs="方正书宋_GBK"/>
                <w:b/>
                <w:kern w:val="0"/>
                <w:sz w:val="21"/>
                <w:szCs w:val="24"/>
                <w:lang w:val="en-US" w:eastAsia="zh-CN" w:bidi="ar-SA"/>
              </w:rPr>
            </w:pPr>
            <w:r>
              <w:rPr>
                <w:rFonts w:hint="eastAsia"/>
                <w:lang w:val="en-US" w:eastAsia="zh-CN"/>
              </w:rPr>
              <w:t>1</w:t>
            </w:r>
          </w:p>
        </w:tc>
        <w:tc>
          <w:tcPr>
            <w:tcW w:w="1067" w:type="dxa"/>
            <w:vAlign w:val="center"/>
          </w:tcPr>
          <w:p>
            <w:pPr>
              <w:pStyle w:val="21"/>
              <w:rPr>
                <w:rFonts w:ascii="方正书宋_GBK" w:hAnsi="方正书宋_GBK" w:eastAsia="方正书宋_GBK" w:cs="方正书宋_GBK"/>
                <w:b/>
                <w:kern w:val="0"/>
                <w:sz w:val="21"/>
                <w:szCs w:val="24"/>
                <w:lang w:val="en-US" w:eastAsia="zh-CN" w:bidi="ar-SA"/>
              </w:rPr>
            </w:pPr>
            <w:r>
              <w:rPr>
                <w:rFonts w:hint="eastAsia"/>
                <w:lang w:eastAsia="zh-CN"/>
              </w:rPr>
              <w:t>30.00</w:t>
            </w:r>
          </w:p>
        </w:tc>
        <w:tc>
          <w:tcPr>
            <w:tcW w:w="1096" w:type="dxa"/>
            <w:vAlign w:val="center"/>
          </w:tcPr>
          <w:p>
            <w:pPr>
              <w:pStyle w:val="21"/>
              <w:rPr>
                <w:lang w:eastAsia="zh-CN"/>
              </w:rPr>
            </w:pPr>
            <w:r>
              <w:rPr>
                <w:rFonts w:hint="eastAsia"/>
                <w:lang w:eastAsia="zh-CN"/>
              </w:rPr>
              <w:t>30.00</w:t>
            </w:r>
          </w:p>
        </w:tc>
        <w:tc>
          <w:tcPr>
            <w:tcW w:w="964" w:type="dxa"/>
            <w:vAlign w:val="center"/>
          </w:tcPr>
          <w:p>
            <w:pPr>
              <w:pStyle w:val="21"/>
              <w:rPr>
                <w:lang w:eastAsia="zh-CN"/>
              </w:rPr>
            </w:pPr>
            <w:r>
              <w:rPr>
                <w:rFonts w:hint="eastAsia"/>
                <w:lang w:eastAsia="zh-CN"/>
              </w:rPr>
              <w:t>30.00</w:t>
            </w: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rPr>
                <w:rFonts w:ascii="方正书宋_GBK" w:hAnsi="方正书宋_GBK" w:eastAsia="方正书宋_GBK" w:cs="方正书宋_GBK"/>
                <w:b/>
                <w:kern w:val="0"/>
                <w:sz w:val="21"/>
                <w:szCs w:val="24"/>
                <w:lang w:val="en-US" w:eastAsia="zh-CN" w:bidi="ar-SA"/>
              </w:rPr>
            </w:pPr>
            <w:r>
              <w:rPr>
                <w:rFonts w:hint="eastAsia"/>
                <w:lang w:eastAsia="zh-CN"/>
              </w:rPr>
              <w:t>30.00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pPr>
              <w:pStyle w:val="20"/>
            </w:pPr>
            <w:r>
              <w:rPr>
                <w:rFonts w:hint="eastAsia"/>
              </w:rPr>
              <w:t>县乡村三级政务服务平台网络专线费用及运行维护</w:t>
            </w:r>
          </w:p>
        </w:tc>
        <w:tc>
          <w:tcPr>
            <w:tcW w:w="964" w:type="dxa"/>
            <w:vAlign w:val="center"/>
          </w:tcPr>
          <w:p>
            <w:pPr>
              <w:pStyle w:val="21"/>
              <w:rPr>
                <w:lang w:eastAsia="zh-CN"/>
              </w:rPr>
            </w:pPr>
            <w:r>
              <w:rPr>
                <w:rFonts w:hint="eastAsia"/>
                <w:lang w:eastAsia="zh-CN"/>
              </w:rPr>
              <w:t>147.00</w:t>
            </w:r>
          </w:p>
        </w:tc>
        <w:tc>
          <w:tcPr>
            <w:tcW w:w="1134" w:type="dxa"/>
            <w:vAlign w:val="center"/>
          </w:tcPr>
          <w:p>
            <w:pPr>
              <w:pStyle w:val="20"/>
              <w:rPr>
                <w:rFonts w:ascii="方正书宋_GBK" w:hAnsi="方正书宋_GBK" w:eastAsia="方正书宋_GBK" w:cs="方正书宋_GBK"/>
                <w:b/>
                <w:kern w:val="0"/>
                <w:sz w:val="21"/>
                <w:szCs w:val="24"/>
                <w:lang w:val="en-US" w:eastAsia="uk-UA" w:bidi="ar-SA"/>
              </w:rPr>
            </w:pPr>
            <w:r>
              <w:rPr>
                <w:rFonts w:hint="eastAsia"/>
              </w:rPr>
              <w:t>县乡村三级政务服务平台网络专线费用及运行维护</w:t>
            </w:r>
          </w:p>
        </w:tc>
        <w:tc>
          <w:tcPr>
            <w:tcW w:w="1134" w:type="dxa"/>
            <w:vAlign w:val="center"/>
          </w:tcPr>
          <w:p>
            <w:pPr>
              <w:pStyle w:val="22"/>
              <w:rPr>
                <w:rFonts w:hint="default" w:eastAsia="方正书宋_GBK"/>
                <w:lang w:val="en-US" w:eastAsia="zh-CN"/>
              </w:rPr>
            </w:pPr>
            <w:r>
              <w:rPr>
                <w:rFonts w:hint="eastAsia"/>
                <w:lang w:val="en-US" w:eastAsia="zh-CN"/>
              </w:rPr>
              <w:t>C1607</w:t>
            </w:r>
          </w:p>
        </w:tc>
        <w:tc>
          <w:tcPr>
            <w:tcW w:w="709" w:type="dxa"/>
            <w:vAlign w:val="center"/>
          </w:tcPr>
          <w:p>
            <w:pPr>
              <w:pStyle w:val="20"/>
              <w:rPr>
                <w:rFonts w:hint="eastAsia" w:ascii="方正书宋_GBK" w:hAnsi="方正书宋_GBK" w:eastAsia="方正书宋_GBK" w:cs="方正书宋_GBK"/>
                <w:b/>
                <w:kern w:val="0"/>
                <w:sz w:val="21"/>
                <w:szCs w:val="24"/>
                <w:lang w:val="en-US" w:eastAsia="zh-CN" w:bidi="ar-SA"/>
              </w:rPr>
            </w:pPr>
            <w:r>
              <w:rPr>
                <w:rFonts w:hint="eastAsia"/>
                <w:lang w:eastAsia="zh-CN"/>
              </w:rPr>
              <w:t>个</w:t>
            </w:r>
          </w:p>
        </w:tc>
        <w:tc>
          <w:tcPr>
            <w:tcW w:w="501" w:type="dxa"/>
            <w:vAlign w:val="center"/>
          </w:tcPr>
          <w:p>
            <w:pPr>
              <w:pStyle w:val="21"/>
              <w:rPr>
                <w:rFonts w:hint="eastAsia" w:ascii="方正书宋_GBK" w:hAnsi="方正书宋_GBK" w:eastAsia="方正书宋_GBK" w:cs="方正书宋_GBK"/>
                <w:b/>
                <w:kern w:val="0"/>
                <w:sz w:val="21"/>
                <w:szCs w:val="24"/>
                <w:lang w:val="en-US" w:eastAsia="zh-CN" w:bidi="ar-SA"/>
              </w:rPr>
            </w:pPr>
            <w:r>
              <w:rPr>
                <w:rFonts w:hint="eastAsia"/>
                <w:lang w:val="en-US" w:eastAsia="zh-CN"/>
              </w:rPr>
              <w:t>1</w:t>
            </w:r>
          </w:p>
        </w:tc>
        <w:tc>
          <w:tcPr>
            <w:tcW w:w="1067" w:type="dxa"/>
            <w:vAlign w:val="center"/>
          </w:tcPr>
          <w:p>
            <w:pPr>
              <w:pStyle w:val="21"/>
              <w:rPr>
                <w:rFonts w:ascii="方正书宋_GBK" w:hAnsi="方正书宋_GBK" w:eastAsia="方正书宋_GBK" w:cs="方正书宋_GBK"/>
                <w:b/>
                <w:kern w:val="0"/>
                <w:sz w:val="21"/>
                <w:szCs w:val="24"/>
                <w:lang w:val="en-US" w:eastAsia="zh-CN" w:bidi="ar-SA"/>
              </w:rPr>
            </w:pPr>
            <w:r>
              <w:rPr>
                <w:rFonts w:hint="eastAsia"/>
                <w:lang w:eastAsia="zh-CN"/>
              </w:rPr>
              <w:t>147.00</w:t>
            </w:r>
          </w:p>
        </w:tc>
        <w:tc>
          <w:tcPr>
            <w:tcW w:w="1096" w:type="dxa"/>
            <w:vAlign w:val="center"/>
          </w:tcPr>
          <w:p>
            <w:pPr>
              <w:pStyle w:val="21"/>
              <w:rPr>
                <w:lang w:eastAsia="zh-CN"/>
              </w:rPr>
            </w:pPr>
            <w:r>
              <w:rPr>
                <w:rFonts w:hint="eastAsia"/>
                <w:lang w:eastAsia="zh-CN"/>
              </w:rPr>
              <w:t>147.00</w:t>
            </w:r>
          </w:p>
        </w:tc>
        <w:tc>
          <w:tcPr>
            <w:tcW w:w="964" w:type="dxa"/>
            <w:vAlign w:val="center"/>
          </w:tcPr>
          <w:p>
            <w:pPr>
              <w:pStyle w:val="21"/>
              <w:rPr>
                <w:lang w:eastAsia="zh-CN"/>
              </w:rPr>
            </w:pPr>
            <w:r>
              <w:rPr>
                <w:rFonts w:hint="eastAsia"/>
                <w:lang w:eastAsia="zh-CN"/>
              </w:rPr>
              <w:t>147.00</w:t>
            </w: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rPr>
                <w:rFonts w:ascii="方正书宋_GBK" w:hAnsi="方正书宋_GBK" w:eastAsia="方正书宋_GBK" w:cs="方正书宋_GBK"/>
                <w:b/>
                <w:kern w:val="0"/>
                <w:sz w:val="21"/>
                <w:szCs w:val="24"/>
                <w:lang w:val="en-US" w:eastAsia="zh-CN" w:bidi="ar-SA"/>
              </w:rPr>
            </w:pPr>
            <w:r>
              <w:rPr>
                <w:rFonts w:hint="eastAsia"/>
                <w:lang w:eastAsia="zh-CN"/>
              </w:rPr>
              <w:t>147.00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pPr>
              <w:pStyle w:val="20"/>
            </w:pPr>
            <w:r>
              <w:rPr>
                <w:rFonts w:hint="eastAsia"/>
              </w:rPr>
              <w:t>房屋租赁</w:t>
            </w:r>
          </w:p>
        </w:tc>
        <w:tc>
          <w:tcPr>
            <w:tcW w:w="964" w:type="dxa"/>
            <w:vAlign w:val="center"/>
          </w:tcPr>
          <w:p>
            <w:pPr>
              <w:pStyle w:val="21"/>
              <w:rPr>
                <w:lang w:eastAsia="zh-CN"/>
              </w:rPr>
            </w:pPr>
            <w:r>
              <w:rPr>
                <w:rFonts w:hint="eastAsia"/>
                <w:lang w:eastAsia="zh-CN"/>
              </w:rPr>
              <w:t>4</w:t>
            </w:r>
            <w:r>
              <w:rPr>
                <w:rFonts w:hint="eastAsia"/>
                <w:lang w:val="en-US" w:eastAsia="zh-CN"/>
              </w:rPr>
              <w:t>2</w:t>
            </w:r>
            <w:r>
              <w:rPr>
                <w:rFonts w:hint="eastAsia"/>
                <w:lang w:eastAsia="zh-CN"/>
              </w:rPr>
              <w:t>0.00</w:t>
            </w:r>
          </w:p>
        </w:tc>
        <w:tc>
          <w:tcPr>
            <w:tcW w:w="1134" w:type="dxa"/>
            <w:vAlign w:val="center"/>
          </w:tcPr>
          <w:p>
            <w:pPr>
              <w:pStyle w:val="20"/>
              <w:rPr>
                <w:rFonts w:ascii="方正书宋_GBK" w:hAnsi="方正书宋_GBK" w:eastAsia="方正书宋_GBK" w:cs="方正书宋_GBK"/>
                <w:b/>
                <w:kern w:val="0"/>
                <w:sz w:val="21"/>
                <w:szCs w:val="24"/>
                <w:lang w:val="en-US" w:eastAsia="uk-UA" w:bidi="ar-SA"/>
              </w:rPr>
            </w:pPr>
            <w:r>
              <w:rPr>
                <w:rFonts w:hint="eastAsia"/>
              </w:rPr>
              <w:t>房屋租赁</w:t>
            </w:r>
          </w:p>
        </w:tc>
        <w:tc>
          <w:tcPr>
            <w:tcW w:w="1134" w:type="dxa"/>
            <w:vAlign w:val="center"/>
          </w:tcPr>
          <w:p>
            <w:pPr>
              <w:pStyle w:val="22"/>
              <w:rPr>
                <w:rFonts w:hint="default" w:eastAsia="方正书宋_GBK"/>
                <w:lang w:val="en-US" w:eastAsia="zh-CN"/>
              </w:rPr>
            </w:pPr>
            <w:r>
              <w:rPr>
                <w:rFonts w:hint="eastAsia"/>
                <w:lang w:val="en-US" w:eastAsia="zh-CN"/>
              </w:rPr>
              <w:t>C2102</w:t>
            </w:r>
          </w:p>
        </w:tc>
        <w:tc>
          <w:tcPr>
            <w:tcW w:w="709" w:type="dxa"/>
            <w:vAlign w:val="center"/>
          </w:tcPr>
          <w:p>
            <w:pPr>
              <w:pStyle w:val="20"/>
              <w:rPr>
                <w:rFonts w:hint="eastAsia" w:ascii="方正书宋_GBK" w:hAnsi="方正书宋_GBK" w:eastAsia="方正书宋_GBK" w:cs="方正书宋_GBK"/>
                <w:b/>
                <w:kern w:val="0"/>
                <w:sz w:val="21"/>
                <w:szCs w:val="24"/>
                <w:lang w:val="en-US" w:eastAsia="zh-CN" w:bidi="ar-SA"/>
              </w:rPr>
            </w:pPr>
            <w:r>
              <w:rPr>
                <w:rFonts w:hint="eastAsia"/>
                <w:lang w:eastAsia="zh-CN"/>
              </w:rPr>
              <w:t>个</w:t>
            </w:r>
          </w:p>
        </w:tc>
        <w:tc>
          <w:tcPr>
            <w:tcW w:w="501" w:type="dxa"/>
            <w:vAlign w:val="center"/>
          </w:tcPr>
          <w:p>
            <w:pPr>
              <w:pStyle w:val="21"/>
              <w:rPr>
                <w:rFonts w:hint="eastAsia" w:ascii="方正书宋_GBK" w:hAnsi="方正书宋_GBK" w:eastAsia="方正书宋_GBK" w:cs="方正书宋_GBK"/>
                <w:b/>
                <w:kern w:val="0"/>
                <w:sz w:val="21"/>
                <w:szCs w:val="24"/>
                <w:lang w:val="en-US" w:eastAsia="zh-CN" w:bidi="ar-SA"/>
              </w:rPr>
            </w:pPr>
            <w:r>
              <w:rPr>
                <w:rFonts w:hint="eastAsia"/>
                <w:lang w:val="en-US" w:eastAsia="zh-CN"/>
              </w:rPr>
              <w:t>1</w:t>
            </w:r>
          </w:p>
        </w:tc>
        <w:tc>
          <w:tcPr>
            <w:tcW w:w="1067" w:type="dxa"/>
            <w:vAlign w:val="center"/>
          </w:tcPr>
          <w:p>
            <w:pPr>
              <w:pStyle w:val="21"/>
              <w:rPr>
                <w:rFonts w:ascii="方正书宋_GBK" w:hAnsi="方正书宋_GBK" w:eastAsia="方正书宋_GBK" w:cs="方正书宋_GBK"/>
                <w:b/>
                <w:kern w:val="0"/>
                <w:sz w:val="21"/>
                <w:szCs w:val="24"/>
                <w:lang w:val="en-US" w:eastAsia="zh-CN" w:bidi="ar-SA"/>
              </w:rPr>
            </w:pPr>
            <w:r>
              <w:rPr>
                <w:rFonts w:hint="eastAsia"/>
                <w:lang w:eastAsia="zh-CN"/>
              </w:rPr>
              <w:t>420.00</w:t>
            </w:r>
          </w:p>
        </w:tc>
        <w:tc>
          <w:tcPr>
            <w:tcW w:w="1096" w:type="dxa"/>
            <w:vAlign w:val="center"/>
          </w:tcPr>
          <w:p>
            <w:pPr>
              <w:pStyle w:val="21"/>
              <w:rPr>
                <w:lang w:eastAsia="zh-CN"/>
              </w:rPr>
            </w:pPr>
            <w:r>
              <w:rPr>
                <w:rFonts w:hint="eastAsia"/>
                <w:lang w:eastAsia="zh-CN"/>
              </w:rPr>
              <w:t>420.00</w:t>
            </w:r>
          </w:p>
        </w:tc>
        <w:tc>
          <w:tcPr>
            <w:tcW w:w="964" w:type="dxa"/>
            <w:vAlign w:val="center"/>
          </w:tcPr>
          <w:p>
            <w:pPr>
              <w:pStyle w:val="21"/>
              <w:rPr>
                <w:lang w:eastAsia="zh-CN"/>
              </w:rPr>
            </w:pPr>
            <w:r>
              <w:rPr>
                <w:rFonts w:hint="eastAsia"/>
                <w:lang w:eastAsia="zh-CN"/>
              </w:rPr>
              <w:t>420.00</w:t>
            </w: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pPr>
          </w:p>
        </w:tc>
        <w:tc>
          <w:tcPr>
            <w:tcW w:w="964" w:type="dxa"/>
            <w:vAlign w:val="center"/>
          </w:tcPr>
          <w:p>
            <w:pPr>
              <w:pStyle w:val="21"/>
              <w:rPr>
                <w:rFonts w:ascii="方正书宋_GBK" w:hAnsi="方正书宋_GBK" w:eastAsia="方正书宋_GBK" w:cs="方正书宋_GBK"/>
                <w:b/>
                <w:kern w:val="0"/>
                <w:sz w:val="21"/>
                <w:szCs w:val="24"/>
                <w:lang w:val="en-US" w:eastAsia="zh-CN" w:bidi="ar-SA"/>
              </w:rPr>
            </w:pPr>
            <w:r>
              <w:rPr>
                <w:rFonts w:hint="eastAsia"/>
                <w:lang w:eastAsia="zh-CN"/>
              </w:rPr>
              <w:t>420.00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pPr>
              <w:pStyle w:val="20"/>
              <w:rPr>
                <w:rFonts w:hint="eastAsia"/>
              </w:rPr>
            </w:pPr>
            <w:r>
              <w:rPr>
                <w:rFonts w:hint="eastAsia"/>
              </w:rPr>
              <w:t>物业</w:t>
            </w:r>
          </w:p>
        </w:tc>
        <w:tc>
          <w:tcPr>
            <w:tcW w:w="964" w:type="dxa"/>
            <w:vAlign w:val="center"/>
          </w:tcPr>
          <w:p>
            <w:pPr>
              <w:pStyle w:val="20"/>
              <w:rPr>
                <w:rFonts w:hint="default"/>
                <w:lang w:val="en-US" w:eastAsia="zh-CN"/>
              </w:rPr>
            </w:pPr>
            <w:r>
              <w:rPr>
                <w:rFonts w:hint="eastAsia"/>
                <w:lang w:val="en-US" w:eastAsia="zh-CN"/>
              </w:rPr>
              <w:t>100.00</w:t>
            </w:r>
          </w:p>
        </w:tc>
        <w:tc>
          <w:tcPr>
            <w:tcW w:w="1134" w:type="dxa"/>
            <w:vAlign w:val="center"/>
          </w:tcPr>
          <w:p>
            <w:pPr>
              <w:pStyle w:val="20"/>
              <w:rPr>
                <w:rFonts w:hint="eastAsia" w:ascii="方正书宋_GBK" w:hAnsi="方正书宋_GBK" w:eastAsia="方正书宋_GBK" w:cs="方正书宋_GBK"/>
                <w:b/>
                <w:kern w:val="0"/>
                <w:sz w:val="21"/>
                <w:szCs w:val="24"/>
                <w:lang w:val="en-US" w:eastAsia="uk-UA" w:bidi="ar-SA"/>
              </w:rPr>
            </w:pPr>
            <w:r>
              <w:rPr>
                <w:rFonts w:hint="eastAsia"/>
              </w:rPr>
              <w:t>物业</w:t>
            </w:r>
          </w:p>
        </w:tc>
        <w:tc>
          <w:tcPr>
            <w:tcW w:w="1134" w:type="dxa"/>
            <w:vAlign w:val="center"/>
          </w:tcPr>
          <w:p>
            <w:pPr>
              <w:pStyle w:val="20"/>
              <w:rPr>
                <w:rFonts w:hint="default" w:eastAsia="方正书宋_GBK"/>
                <w:lang w:val="en-US" w:eastAsia="zh-CN"/>
              </w:rPr>
            </w:pPr>
            <w:r>
              <w:rPr>
                <w:rFonts w:hint="eastAsia"/>
                <w:lang w:val="en-US" w:eastAsia="zh-CN"/>
              </w:rPr>
              <w:t>C2104</w:t>
            </w:r>
          </w:p>
        </w:tc>
        <w:tc>
          <w:tcPr>
            <w:tcW w:w="709" w:type="dxa"/>
            <w:vAlign w:val="center"/>
          </w:tcPr>
          <w:p>
            <w:pPr>
              <w:pStyle w:val="20"/>
              <w:rPr>
                <w:rFonts w:hint="eastAsia" w:ascii="方正书宋_GBK" w:hAnsi="方正书宋_GBK" w:eastAsia="方正书宋_GBK" w:cs="方正书宋_GBK"/>
                <w:b/>
                <w:kern w:val="0"/>
                <w:sz w:val="21"/>
                <w:szCs w:val="24"/>
                <w:lang w:val="en-US" w:eastAsia="zh-CN" w:bidi="ar-SA"/>
              </w:rPr>
            </w:pPr>
            <w:r>
              <w:rPr>
                <w:rFonts w:hint="eastAsia"/>
                <w:lang w:eastAsia="zh-CN"/>
              </w:rPr>
              <w:t>个</w:t>
            </w:r>
          </w:p>
        </w:tc>
        <w:tc>
          <w:tcPr>
            <w:tcW w:w="501" w:type="dxa"/>
            <w:vAlign w:val="center"/>
          </w:tcPr>
          <w:p>
            <w:pPr>
              <w:pStyle w:val="21"/>
              <w:rPr>
                <w:rFonts w:hint="eastAsia" w:ascii="方正书宋_GBK" w:hAnsi="方正书宋_GBK" w:eastAsia="方正书宋_GBK" w:cs="方正书宋_GBK"/>
                <w:b/>
                <w:kern w:val="0"/>
                <w:sz w:val="21"/>
                <w:szCs w:val="24"/>
                <w:lang w:val="en-US" w:eastAsia="zh-CN" w:bidi="ar-SA"/>
              </w:rPr>
            </w:pPr>
            <w:r>
              <w:rPr>
                <w:rFonts w:hint="eastAsia"/>
                <w:lang w:val="en-US" w:eastAsia="zh-CN"/>
              </w:rPr>
              <w:t>1</w:t>
            </w:r>
          </w:p>
        </w:tc>
        <w:tc>
          <w:tcPr>
            <w:tcW w:w="1067" w:type="dxa"/>
            <w:vAlign w:val="center"/>
          </w:tcPr>
          <w:p>
            <w:pPr>
              <w:pStyle w:val="20"/>
              <w:rPr>
                <w:rFonts w:hint="eastAsia" w:ascii="方正书宋_GBK" w:hAnsi="方正书宋_GBK" w:eastAsia="方正书宋_GBK" w:cs="方正书宋_GBK"/>
                <w:b/>
                <w:kern w:val="0"/>
                <w:sz w:val="21"/>
                <w:szCs w:val="24"/>
                <w:lang w:val="en-US" w:eastAsia="zh-CN" w:bidi="ar-SA"/>
              </w:rPr>
            </w:pPr>
            <w:r>
              <w:rPr>
                <w:rFonts w:hint="eastAsia"/>
                <w:lang w:eastAsia="zh-CN"/>
              </w:rPr>
              <w:t>100.00</w:t>
            </w:r>
          </w:p>
        </w:tc>
        <w:tc>
          <w:tcPr>
            <w:tcW w:w="1096" w:type="dxa"/>
            <w:vAlign w:val="center"/>
          </w:tcPr>
          <w:p>
            <w:pPr>
              <w:pStyle w:val="20"/>
              <w:rPr>
                <w:rFonts w:hint="eastAsia"/>
                <w:lang w:eastAsia="zh-CN"/>
              </w:rPr>
            </w:pPr>
            <w:r>
              <w:rPr>
                <w:rFonts w:hint="eastAsia"/>
                <w:lang w:eastAsia="zh-CN"/>
              </w:rPr>
              <w:t>100.00</w:t>
            </w:r>
          </w:p>
        </w:tc>
        <w:tc>
          <w:tcPr>
            <w:tcW w:w="964" w:type="dxa"/>
            <w:vAlign w:val="center"/>
          </w:tcPr>
          <w:p>
            <w:pPr>
              <w:pStyle w:val="20"/>
              <w:rPr>
                <w:rFonts w:hint="eastAsia"/>
                <w:lang w:eastAsia="zh-CN"/>
              </w:rPr>
            </w:pPr>
            <w:r>
              <w:rPr>
                <w:rFonts w:hint="eastAsia"/>
                <w:lang w:eastAsia="zh-CN"/>
              </w:rPr>
              <w:t>100.00</w:t>
            </w:r>
          </w:p>
        </w:tc>
        <w:tc>
          <w:tcPr>
            <w:tcW w:w="964" w:type="dxa"/>
            <w:vAlign w:val="center"/>
          </w:tcPr>
          <w:p>
            <w:pPr>
              <w:pStyle w:val="17"/>
            </w:pPr>
          </w:p>
        </w:tc>
        <w:tc>
          <w:tcPr>
            <w:tcW w:w="964" w:type="dxa"/>
            <w:vAlign w:val="center"/>
          </w:tcPr>
          <w:p>
            <w:pPr>
              <w:pStyle w:val="17"/>
            </w:pPr>
          </w:p>
        </w:tc>
        <w:tc>
          <w:tcPr>
            <w:tcW w:w="964" w:type="dxa"/>
            <w:vAlign w:val="center"/>
          </w:tcPr>
          <w:p>
            <w:pPr>
              <w:pStyle w:val="17"/>
            </w:pPr>
          </w:p>
        </w:tc>
        <w:tc>
          <w:tcPr>
            <w:tcW w:w="964" w:type="dxa"/>
            <w:vAlign w:val="center"/>
          </w:tcPr>
          <w:p>
            <w:pPr>
              <w:pStyle w:val="17"/>
            </w:pPr>
          </w:p>
        </w:tc>
        <w:tc>
          <w:tcPr>
            <w:tcW w:w="964" w:type="dxa"/>
            <w:vAlign w:val="center"/>
          </w:tcPr>
          <w:p>
            <w:pPr>
              <w:pStyle w:val="17"/>
            </w:pPr>
          </w:p>
        </w:tc>
        <w:tc>
          <w:tcPr>
            <w:tcW w:w="964" w:type="dxa"/>
            <w:vAlign w:val="center"/>
          </w:tcPr>
          <w:p>
            <w:pPr>
              <w:pStyle w:val="17"/>
            </w:pPr>
          </w:p>
        </w:tc>
        <w:tc>
          <w:tcPr>
            <w:tcW w:w="964" w:type="dxa"/>
            <w:vAlign w:val="center"/>
          </w:tcPr>
          <w:p>
            <w:pPr>
              <w:pStyle w:val="20"/>
              <w:rPr>
                <w:rFonts w:hint="eastAsia" w:ascii="方正书宋_GBK" w:hAnsi="方正书宋_GBK" w:eastAsia="方正书宋_GBK" w:cs="方正书宋_GBK"/>
                <w:b/>
                <w:kern w:val="0"/>
                <w:sz w:val="21"/>
                <w:szCs w:val="24"/>
                <w:lang w:val="en-US" w:eastAsia="zh-CN" w:bidi="ar-SA"/>
              </w:rPr>
            </w:pPr>
            <w:r>
              <w:rPr>
                <w:rFonts w:hint="eastAsia"/>
                <w:lang w:eastAsia="zh-CN"/>
              </w:rPr>
              <w:t>100.00</w:t>
            </w:r>
          </w:p>
        </w:tc>
      </w:tr>
    </w:tbl>
    <w:p>
      <w:pPr>
        <w:spacing w:line="500" w:lineRule="exact"/>
        <w:ind w:firstLine="420"/>
        <w:rPr>
          <w:rFonts w:ascii="方正仿宋_GBK" w:hAnsi="方正仿宋_GBK" w:eastAsia="方正仿宋_GBK" w:cs="方正仿宋_GBK"/>
          <w:color w:val="000000"/>
        </w:rPr>
      </w:pPr>
      <w:r>
        <w:rPr>
          <w:rFonts w:ascii="方正仿宋_GBK" w:hAnsi="方正仿宋_GBK" w:eastAsia="方正仿宋_GBK" w:cs="方正仿宋_GBK"/>
          <w:color w:val="000000"/>
        </w:rPr>
        <w:t>注：同一采购目录序号的物品，其单价会因配置规格不同而变动，均符合资产配置标准。涉密采购事项按照相关规定执行。</w:t>
      </w:r>
    </w:p>
    <w:p>
      <w:pPr>
        <w:spacing w:line="500" w:lineRule="exact"/>
        <w:ind w:firstLine="420"/>
        <w:rPr>
          <w:rFonts w:ascii="Times New Roman" w:hAnsi="Times New Roman" w:eastAsia="黑体" w:cs="Times New Roman"/>
          <w:sz w:val="32"/>
          <w:szCs w:val="32"/>
        </w:rPr>
      </w:pPr>
      <w:r>
        <w:rPr>
          <w:rFonts w:ascii="Times New Roman" w:hAnsi="黑体" w:eastAsia="黑体" w:cs="Times New Roman"/>
          <w:sz w:val="32"/>
          <w:szCs w:val="32"/>
        </w:rPr>
        <w:t>七、国有资产信息</w:t>
      </w:r>
    </w:p>
    <w:p>
      <w:pPr>
        <w:spacing w:line="584" w:lineRule="exact"/>
        <w:ind w:firstLine="640"/>
        <w:rPr>
          <w:rFonts w:hint="eastAsia" w:ascii="Times New Roman" w:hAnsi="Times New Roman" w:eastAsia="仿宋_GB2312" w:cs="Times New Roman"/>
          <w:sz w:val="32"/>
          <w:szCs w:val="32"/>
          <w:lang w:eastAsia="zh-CN"/>
        </w:rPr>
      </w:pPr>
      <w:r>
        <w:rPr>
          <w:rFonts w:ascii="Times New Roman" w:hAnsi="Times New Roman" w:eastAsia="仿宋_GB2312" w:cs="Times New Roman"/>
          <w:sz w:val="32"/>
          <w:szCs w:val="32"/>
        </w:rPr>
        <w:t>永清县</w:t>
      </w:r>
      <w:r>
        <w:rPr>
          <w:rFonts w:hint="eastAsia" w:ascii="Times New Roman" w:hAnsi="Times New Roman" w:eastAsia="仿宋_GB2312" w:cs="Times New Roman"/>
          <w:sz w:val="32"/>
          <w:szCs w:val="32"/>
        </w:rPr>
        <w:t>行政审批局</w:t>
      </w:r>
      <w:r>
        <w:rPr>
          <w:rFonts w:ascii="Times New Roman" w:hAnsi="Times New Roman" w:eastAsia="仿宋_GB2312" w:cs="Times New Roman"/>
          <w:sz w:val="32"/>
          <w:szCs w:val="32"/>
        </w:rPr>
        <w:t>（含所属单位）上年末固定资产金额为</w:t>
      </w:r>
      <w:r>
        <w:rPr>
          <w:rFonts w:hint="eastAsia" w:ascii="Times New Roman" w:hAnsi="Times New Roman" w:eastAsia="仿宋_GB2312" w:cs="Times New Roman"/>
          <w:sz w:val="32"/>
          <w:szCs w:val="32"/>
        </w:rPr>
        <w:t>1450.87</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（详见下表）</w:t>
      </w:r>
      <w:r>
        <w:rPr>
          <w:rFonts w:ascii="Times New Roman" w:hAnsi="Times New Roman" w:eastAsia="仿宋_GB2312" w:cs="Times New Roman"/>
          <w:sz w:val="32"/>
          <w:szCs w:val="32"/>
        </w:rPr>
        <w:t>，本年度我部门</w:t>
      </w:r>
      <w:r>
        <w:rPr>
          <w:rFonts w:hint="eastAsia" w:ascii="Times New Roman" w:hAnsi="Times New Roman" w:eastAsia="仿宋_GB2312" w:cs="Times New Roman"/>
          <w:sz w:val="32"/>
          <w:szCs w:val="32"/>
          <w:lang w:eastAsia="zh-CN"/>
        </w:rPr>
        <w:t>无</w:t>
      </w:r>
      <w:r>
        <w:rPr>
          <w:rFonts w:ascii="Times New Roman" w:hAnsi="Times New Roman" w:eastAsia="仿宋_GB2312" w:cs="Times New Roman"/>
          <w:sz w:val="32"/>
          <w:szCs w:val="32"/>
        </w:rPr>
        <w:t>拟购置固定资产</w:t>
      </w:r>
      <w:r>
        <w:rPr>
          <w:rFonts w:hint="eastAsia" w:ascii="Times New Roman" w:hAnsi="Times New Roman" w:eastAsia="仿宋_GB2312" w:cs="Times New Roman"/>
          <w:sz w:val="32"/>
          <w:szCs w:val="32"/>
          <w:lang w:eastAsia="zh-CN"/>
        </w:rPr>
        <w:t>。</w:t>
      </w:r>
    </w:p>
    <w:p>
      <w:pPr>
        <w:spacing w:line="584" w:lineRule="exact"/>
        <w:ind w:firstLine="640"/>
        <w:rPr>
          <w:rFonts w:ascii="Times New Roman" w:hAnsi="Times New Roman" w:eastAsia="仿宋_GB2312" w:cs="Times New Roman"/>
          <w:sz w:val="32"/>
          <w:szCs w:val="32"/>
        </w:rPr>
      </w:pPr>
    </w:p>
    <w:tbl>
      <w:tblPr>
        <w:tblStyle w:val="8"/>
        <w:tblW w:w="13325" w:type="dxa"/>
        <w:tblInd w:w="93" w:type="dxa"/>
        <w:tblLayout w:type="autofit"/>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shd w:val="clear" w:color="auto" w:fill="auto"/>
            <w:noWrap/>
            <w:vAlign w:val="center"/>
          </w:tcPr>
          <w:p>
            <w:pPr>
              <w:widowControl/>
              <w:spacing w:line="584" w:lineRule="exact"/>
              <w:jc w:val="center"/>
              <w:rPr>
                <w:rFonts w:ascii="Times New Roman" w:hAnsi="Times New Roman" w:eastAsia="仿宋_GB2312" w:cs="Times New Roman"/>
                <w:b/>
                <w:bCs/>
                <w:kern w:val="0"/>
                <w:sz w:val="32"/>
                <w:szCs w:val="32"/>
              </w:rPr>
            </w:pPr>
          </w:p>
          <w:p>
            <w:pPr>
              <w:widowControl/>
              <w:spacing w:line="584" w:lineRule="exact"/>
              <w:jc w:val="center"/>
              <w:rPr>
                <w:rFonts w:ascii="Times New Roman" w:hAnsi="Times New Roman" w:eastAsia="仿宋_GB2312" w:cs="Times New Roman"/>
                <w:b/>
                <w:bCs/>
                <w:kern w:val="0"/>
                <w:sz w:val="32"/>
                <w:szCs w:val="32"/>
              </w:rPr>
            </w:pPr>
          </w:p>
          <w:p>
            <w:pPr>
              <w:widowControl/>
              <w:spacing w:line="584"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永清县县直部门固定资产占用情况表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编制部门：永清县</w:t>
            </w:r>
            <w:r>
              <w:rPr>
                <w:rFonts w:hint="eastAsia" w:ascii="Times New Roman" w:hAnsi="Times New Roman" w:eastAsia="仿宋_GB2312" w:cs="Times New Roman"/>
                <w:kern w:val="0"/>
                <w:sz w:val="22"/>
              </w:rPr>
              <w:t>行政审批局</w:t>
            </w:r>
          </w:p>
        </w:tc>
        <w:tc>
          <w:tcPr>
            <w:tcW w:w="5103" w:type="dxa"/>
            <w:tcBorders>
              <w:top w:val="nil"/>
              <w:left w:val="nil"/>
              <w:bottom w:val="nil"/>
              <w:right w:val="nil"/>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w:t>
            </w:r>
            <w:r>
              <w:rPr>
                <w:rFonts w:hint="eastAsia" w:ascii="Times New Roman" w:hAnsi="Times New Roman" w:eastAsia="仿宋_GB2312" w:cs="Times New Roman"/>
                <w:kern w:val="0"/>
                <w:sz w:val="22"/>
              </w:rPr>
              <w:t>2</w:t>
            </w:r>
            <w:r>
              <w:rPr>
                <w:rFonts w:ascii="Times New Roman" w:hAnsi="Times New Roman" w:eastAsia="仿宋_GB2312" w:cs="Times New Roman"/>
                <w:kern w:val="0"/>
                <w:sz w:val="22"/>
              </w:rPr>
              <w:t>1年12月31日</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eastAsia" w:ascii="Times New Roman" w:hAnsi="Times New Roman" w:eastAsia="仿宋_GB2312" w:cs="Times New Roman"/>
                <w:sz w:val="22"/>
              </w:rPr>
            </w:pPr>
            <w:r>
              <w:rPr>
                <w:rFonts w:hint="eastAsia" w:ascii="Times New Roman" w:hAnsi="Times New Roman" w:eastAsia="仿宋_GB2312" w:cs="Times New Roman"/>
                <w:sz w:val="22"/>
              </w:rPr>
              <w:t>1450.87</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eastAsia"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eastAsia"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3</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eastAsia" w:ascii="Times New Roman" w:hAnsi="Times New Roman" w:eastAsia="仿宋_GB2312" w:cs="Times New Roman"/>
                <w:sz w:val="22"/>
              </w:rPr>
            </w:pPr>
            <w:r>
              <w:rPr>
                <w:rFonts w:hint="eastAsia" w:ascii="Times New Roman" w:hAnsi="Times New Roman" w:eastAsia="仿宋_GB2312" w:cs="Times New Roman"/>
                <w:sz w:val="22"/>
              </w:rPr>
              <w:t>45.08</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1405.79</w:t>
            </w:r>
          </w:p>
        </w:tc>
      </w:tr>
    </w:tbl>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八、名词解释</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1、一般公共预算拨款收入：</w:t>
      </w:r>
      <w:r>
        <w:rPr>
          <w:rFonts w:ascii="Times New Roman" w:hAnsi="Times New Roman" w:eastAsia="仿宋_GB2312" w:cs="Times New Roman"/>
          <w:sz w:val="32"/>
          <w:szCs w:val="32"/>
        </w:rPr>
        <w:t>指</w:t>
      </w:r>
      <w:r>
        <w:rPr>
          <w:rFonts w:hint="eastAsia" w:ascii="Times New Roman" w:hAnsi="Times New Roman" w:eastAsia="仿宋_GB2312" w:cs="Times New Roman"/>
          <w:sz w:val="32"/>
          <w:szCs w:val="32"/>
        </w:rPr>
        <w:t>县</w:t>
      </w:r>
      <w:r>
        <w:rPr>
          <w:rFonts w:ascii="Times New Roman" w:hAnsi="Times New Roman" w:eastAsia="仿宋_GB2312" w:cs="Times New Roman"/>
          <w:sz w:val="32"/>
          <w:szCs w:val="32"/>
        </w:rPr>
        <w:t>级财政当年拨付的资金。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2、事业收入：</w:t>
      </w:r>
      <w:r>
        <w:rPr>
          <w:rFonts w:ascii="Times New Roman" w:hAnsi="Times New Roman" w:eastAsia="仿宋_GB2312" w:cs="Times New Roman"/>
          <w:sz w:val="32"/>
          <w:szCs w:val="32"/>
        </w:rPr>
        <w:t>指事业单位开展专业业务活动及辅助活动所取得的收入。</w:t>
      </w:r>
    </w:p>
    <w:p>
      <w:pPr>
        <w:tabs>
          <w:tab w:val="left" w:pos="11490"/>
        </w:tabs>
        <w:spacing w:line="584"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3、其他收入：</w:t>
      </w:r>
      <w:r>
        <w:rPr>
          <w:rFonts w:ascii="Times New Roman" w:hAnsi="Times New Roman" w:eastAsia="仿宋_GB2312" w:cs="Times New Roman"/>
          <w:sz w:val="32"/>
          <w:szCs w:val="32"/>
        </w:rPr>
        <w:t>指除“一般公共预算拨款收入”、“事业收入”等以外的收入。主要是按规定动用的租房收入、存款利息收入等。</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4、基本支出：</w:t>
      </w:r>
      <w:r>
        <w:rPr>
          <w:rFonts w:ascii="Times New Roman" w:hAnsi="Times New Roman" w:eastAsia="仿宋_GB2312" w:cs="Times New Roman"/>
          <w:sz w:val="32"/>
          <w:szCs w:val="32"/>
        </w:rPr>
        <w:t>指为保障机构正常运转、完成日常工作任务而发生的人员支出和公用支出。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5、项目支出：</w:t>
      </w:r>
      <w:r>
        <w:rPr>
          <w:rFonts w:ascii="Times New Roman" w:hAnsi="Times New Roman" w:eastAsia="仿宋_GB2312" w:cs="Times New Roman"/>
          <w:sz w:val="32"/>
          <w:szCs w:val="32"/>
        </w:rPr>
        <w:t>指在基本支出之外为完成特定行政任务和事业发展目标所发生的支出。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6、上缴上级支出：</w:t>
      </w:r>
      <w:r>
        <w:rPr>
          <w:rFonts w:ascii="Times New Roman" w:hAnsi="Times New Roman" w:eastAsia="仿宋_GB2312" w:cs="Times New Roman"/>
          <w:sz w:val="32"/>
          <w:szCs w:val="32"/>
        </w:rPr>
        <w:t>指下级单位上缴上级的支出。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7、“三公”经费：</w:t>
      </w:r>
      <w:r>
        <w:rPr>
          <w:rFonts w:ascii="Times New Roman" w:hAnsi="Times New Roman" w:eastAsia="仿宋_GB2312" w:cs="Times New Roman"/>
          <w:sz w:val="32"/>
          <w:szCs w:val="32"/>
        </w:rPr>
        <w:t>纳入</w:t>
      </w:r>
      <w:r>
        <w:rPr>
          <w:rFonts w:hint="eastAsia" w:ascii="Times New Roman" w:hAnsi="Times New Roman" w:eastAsia="仿宋_GB2312" w:cs="Times New Roman"/>
          <w:sz w:val="32"/>
          <w:szCs w:val="32"/>
        </w:rPr>
        <w:t>县</w:t>
      </w:r>
      <w:r>
        <w:rPr>
          <w:rFonts w:ascii="Times New Roman" w:hAnsi="Times New Roman" w:eastAsia="仿宋_GB2312" w:cs="Times New Roman"/>
          <w:sz w:val="32"/>
          <w:szCs w:val="32"/>
        </w:rPr>
        <w:t>级财政预算管理的“三公”经费，是指</w:t>
      </w:r>
      <w:r>
        <w:rPr>
          <w:rFonts w:hint="eastAsia" w:ascii="Times New Roman" w:hAnsi="Times New Roman" w:eastAsia="仿宋_GB2312" w:cs="Times New Roman"/>
          <w:sz w:val="32"/>
          <w:szCs w:val="32"/>
        </w:rPr>
        <w:t>县</w:t>
      </w:r>
      <w:r>
        <w:rPr>
          <w:rFonts w:ascii="Times New Roman" w:hAnsi="Times New Roman" w:eastAsia="仿宋_GB2312" w:cs="Times New Roman"/>
          <w:sz w:val="32"/>
          <w:szCs w:val="32"/>
        </w:rPr>
        <w:t>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8、机关运行费：</w:t>
      </w:r>
      <w:r>
        <w:rPr>
          <w:rFonts w:ascii="Times New Roman" w:hAnsi="Times New Roman" w:eastAsia="仿宋_GB2312" w:cs="Times New Roman"/>
          <w:sz w:val="32"/>
          <w:szCs w:val="32"/>
        </w:rPr>
        <w:t>为保障全部</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9、上年结转：</w:t>
      </w:r>
      <w:r>
        <w:rPr>
          <w:rFonts w:ascii="Times New Roman" w:hAnsi="Times New Roman" w:eastAsia="仿宋_GB2312" w:cs="Times New Roman"/>
          <w:sz w:val="32"/>
          <w:szCs w:val="32"/>
        </w:rPr>
        <w:t>指以前年度尚未完成、结转到本年仍按原规定用途继续使用的资金。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10、事业单位经营支出：</w:t>
      </w:r>
      <w:r>
        <w:rPr>
          <w:rFonts w:ascii="Times New Roman" w:hAnsi="Times New Roman" w:eastAsia="仿宋_GB2312" w:cs="Times New Roman"/>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九、其他需要说明的事项</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我部门无其他需要说明的事项。</w:t>
      </w:r>
    </w:p>
    <w:p>
      <w:pPr>
        <w:spacing w:line="584" w:lineRule="exact"/>
        <w:ind w:firstLine="640" w:firstLineChars="200"/>
        <w:rPr>
          <w:rFonts w:ascii="Times New Roman" w:hAnsi="Times New Roman" w:eastAsia="仿宋_GB2312" w:cs="Times New Roman"/>
          <w:sz w:val="32"/>
          <w:szCs w:val="32"/>
        </w:rPr>
      </w:pPr>
    </w:p>
    <w:p>
      <w:pPr>
        <w:spacing w:line="584" w:lineRule="exact"/>
        <w:ind w:firstLine="643" w:firstLineChars="200"/>
        <w:rPr>
          <w:rFonts w:ascii="Times New Roman" w:hAnsi="Times New Roman" w:eastAsia="仿宋_GB2312" w:cs="Times New Roman"/>
          <w:b/>
          <w:color w:val="FF0000"/>
          <w:sz w:val="32"/>
          <w:szCs w:val="32"/>
        </w:rPr>
      </w:pPr>
    </w:p>
    <w:sectPr>
      <w:footerReference r:id="rId3" w:type="default"/>
      <w:pgSz w:w="16838" w:h="11906" w:orient="landscape"/>
      <w:pgMar w:top="1800" w:right="1440" w:bottom="1800"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书宋_GBK">
    <w:altName w:val="微软雅黑"/>
    <w:panose1 w:val="00000000000000000000"/>
    <w:charset w:val="86"/>
    <w:family w:val="roman"/>
    <w:pitch w:val="default"/>
    <w:sig w:usb0="00000000" w:usb1="00000000" w:usb2="00000000" w:usb3="00000000" w:csb0="00000000" w:csb1="00000000"/>
  </w:font>
  <w:font w:name="方正仿宋_GBK">
    <w:altName w:val="宋体"/>
    <w:panose1 w:val="00000000000000000000"/>
    <w:charset w:val="86"/>
    <w:family w:val="roman"/>
    <w:pitch w:val="default"/>
    <w:sig w:usb0="00000000" w:usb1="00000000" w:usb2="00000000" w:usb3="00000000" w:csb0="00000000" w:csb1="00000000"/>
  </w:font>
  <w:font w:name="方正小标宋简体">
    <w:altName w:val="Arial Unicode MS"/>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方正小标宋_GBK">
    <w:altName w:val="Arial Unicode MS"/>
    <w:panose1 w:val="00000000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04349198"/>
      <w:docPartObj>
        <w:docPartGallery w:val="autotext"/>
      </w:docPartObj>
    </w:sdtPr>
    <w:sdtContent>
      <w:p>
        <w:pPr>
          <w:pStyle w:val="3"/>
          <w:jc w:val="center"/>
        </w:pPr>
        <w:r>
          <w:rPr>
            <w:rFonts w:hint="eastAsia"/>
          </w:rPr>
          <w:t>-</w:t>
        </w:r>
        <w:r>
          <w:fldChar w:fldCharType="begin"/>
        </w:r>
        <w:r>
          <w:instrText xml:space="preserve">PAGE   \* MERGEFORMAT</w:instrText>
        </w:r>
        <w:r>
          <w:fldChar w:fldCharType="separate"/>
        </w:r>
        <w:r>
          <w:rPr>
            <w:lang w:val="zh-CN"/>
          </w:rPr>
          <w:t>23</w:t>
        </w:r>
        <w:r>
          <w:rPr>
            <w:lang w:val="zh-CN"/>
          </w:rPr>
          <w:fldChar w:fldCharType="end"/>
        </w:r>
        <w:r>
          <w:rPr>
            <w:rFonts w:hint="eastAsia"/>
          </w:rPr>
          <w:t>-</w:t>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7"/>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WJmY2E0NDZjM2NiZjBjN2FjYjVmNGJmOTM4ZjgyZWEifQ=="/>
  </w:docVars>
  <w:rsids>
    <w:rsidRoot w:val="00F66032"/>
    <w:rsid w:val="000053CC"/>
    <w:rsid w:val="00005DD8"/>
    <w:rsid w:val="00007292"/>
    <w:rsid w:val="00007A31"/>
    <w:rsid w:val="0002784C"/>
    <w:rsid w:val="0003697D"/>
    <w:rsid w:val="00037AF6"/>
    <w:rsid w:val="0004565F"/>
    <w:rsid w:val="00052A1A"/>
    <w:rsid w:val="00072187"/>
    <w:rsid w:val="00075D5F"/>
    <w:rsid w:val="0008180F"/>
    <w:rsid w:val="00082B29"/>
    <w:rsid w:val="00093DA3"/>
    <w:rsid w:val="000B529B"/>
    <w:rsid w:val="000C1A24"/>
    <w:rsid w:val="000C2338"/>
    <w:rsid w:val="000C24E6"/>
    <w:rsid w:val="000C3A19"/>
    <w:rsid w:val="000D0983"/>
    <w:rsid w:val="000D24AC"/>
    <w:rsid w:val="000D49F2"/>
    <w:rsid w:val="000E4305"/>
    <w:rsid w:val="000F0D09"/>
    <w:rsid w:val="00123A3A"/>
    <w:rsid w:val="001245BB"/>
    <w:rsid w:val="001251A3"/>
    <w:rsid w:val="00137B51"/>
    <w:rsid w:val="00143193"/>
    <w:rsid w:val="001601F9"/>
    <w:rsid w:val="00160266"/>
    <w:rsid w:val="001643E8"/>
    <w:rsid w:val="00164641"/>
    <w:rsid w:val="00164B40"/>
    <w:rsid w:val="00176C13"/>
    <w:rsid w:val="00183D1E"/>
    <w:rsid w:val="001919C4"/>
    <w:rsid w:val="0019412A"/>
    <w:rsid w:val="0019723B"/>
    <w:rsid w:val="001A0943"/>
    <w:rsid w:val="001A3D44"/>
    <w:rsid w:val="001B5C1D"/>
    <w:rsid w:val="001B614C"/>
    <w:rsid w:val="001C2B2C"/>
    <w:rsid w:val="001C3B5E"/>
    <w:rsid w:val="001D42E8"/>
    <w:rsid w:val="001E0757"/>
    <w:rsid w:val="001E5749"/>
    <w:rsid w:val="001E6DDC"/>
    <w:rsid w:val="001E70E9"/>
    <w:rsid w:val="001F5C92"/>
    <w:rsid w:val="001F7873"/>
    <w:rsid w:val="00204F37"/>
    <w:rsid w:val="00230E48"/>
    <w:rsid w:val="00241FD4"/>
    <w:rsid w:val="00246317"/>
    <w:rsid w:val="00251B12"/>
    <w:rsid w:val="00265318"/>
    <w:rsid w:val="00277452"/>
    <w:rsid w:val="002835D7"/>
    <w:rsid w:val="00290B45"/>
    <w:rsid w:val="00290FD6"/>
    <w:rsid w:val="0029588E"/>
    <w:rsid w:val="00296113"/>
    <w:rsid w:val="002A673A"/>
    <w:rsid w:val="002B27B6"/>
    <w:rsid w:val="002C29A3"/>
    <w:rsid w:val="002C5E13"/>
    <w:rsid w:val="002C62BC"/>
    <w:rsid w:val="002D3C5F"/>
    <w:rsid w:val="002E0EB8"/>
    <w:rsid w:val="002F0823"/>
    <w:rsid w:val="002F3A53"/>
    <w:rsid w:val="002F3E58"/>
    <w:rsid w:val="0030542C"/>
    <w:rsid w:val="003075D4"/>
    <w:rsid w:val="00311B7A"/>
    <w:rsid w:val="003126B6"/>
    <w:rsid w:val="00313D9C"/>
    <w:rsid w:val="00314231"/>
    <w:rsid w:val="00325215"/>
    <w:rsid w:val="0033339C"/>
    <w:rsid w:val="0036386B"/>
    <w:rsid w:val="00371FDA"/>
    <w:rsid w:val="0039520A"/>
    <w:rsid w:val="003B6D37"/>
    <w:rsid w:val="003D2E03"/>
    <w:rsid w:val="003E656D"/>
    <w:rsid w:val="00415C0E"/>
    <w:rsid w:val="00424943"/>
    <w:rsid w:val="00426A46"/>
    <w:rsid w:val="0042727E"/>
    <w:rsid w:val="0043175C"/>
    <w:rsid w:val="00437296"/>
    <w:rsid w:val="00451590"/>
    <w:rsid w:val="00451871"/>
    <w:rsid w:val="004706DE"/>
    <w:rsid w:val="00472923"/>
    <w:rsid w:val="00486DCD"/>
    <w:rsid w:val="0049120C"/>
    <w:rsid w:val="004B0C3A"/>
    <w:rsid w:val="004B12F3"/>
    <w:rsid w:val="004B45C1"/>
    <w:rsid w:val="004C49A8"/>
    <w:rsid w:val="004D0AD1"/>
    <w:rsid w:val="004D5788"/>
    <w:rsid w:val="004D59C5"/>
    <w:rsid w:val="004E15AE"/>
    <w:rsid w:val="004E3066"/>
    <w:rsid w:val="004E419C"/>
    <w:rsid w:val="004E581C"/>
    <w:rsid w:val="004E74CD"/>
    <w:rsid w:val="00517C46"/>
    <w:rsid w:val="00524EFD"/>
    <w:rsid w:val="00527CD9"/>
    <w:rsid w:val="00572067"/>
    <w:rsid w:val="00573562"/>
    <w:rsid w:val="00573966"/>
    <w:rsid w:val="0057546C"/>
    <w:rsid w:val="00590ECE"/>
    <w:rsid w:val="00591534"/>
    <w:rsid w:val="005A32B6"/>
    <w:rsid w:val="005B041A"/>
    <w:rsid w:val="005C0E90"/>
    <w:rsid w:val="005D37CA"/>
    <w:rsid w:val="005D5683"/>
    <w:rsid w:val="005F5714"/>
    <w:rsid w:val="005F7AE1"/>
    <w:rsid w:val="00611D03"/>
    <w:rsid w:val="00614A29"/>
    <w:rsid w:val="00616FCE"/>
    <w:rsid w:val="006465EA"/>
    <w:rsid w:val="00651BA2"/>
    <w:rsid w:val="00672D6C"/>
    <w:rsid w:val="00673D76"/>
    <w:rsid w:val="006750E7"/>
    <w:rsid w:val="00677AC3"/>
    <w:rsid w:val="006854F0"/>
    <w:rsid w:val="006B1C4A"/>
    <w:rsid w:val="006B610D"/>
    <w:rsid w:val="006C3E06"/>
    <w:rsid w:val="006D010F"/>
    <w:rsid w:val="006E49F5"/>
    <w:rsid w:val="006F66C9"/>
    <w:rsid w:val="006F74B7"/>
    <w:rsid w:val="007013C8"/>
    <w:rsid w:val="00716BFB"/>
    <w:rsid w:val="00727C84"/>
    <w:rsid w:val="00740BB2"/>
    <w:rsid w:val="0074338E"/>
    <w:rsid w:val="00744B4E"/>
    <w:rsid w:val="00753836"/>
    <w:rsid w:val="0075393C"/>
    <w:rsid w:val="00754592"/>
    <w:rsid w:val="00776C08"/>
    <w:rsid w:val="00785B0E"/>
    <w:rsid w:val="007961CB"/>
    <w:rsid w:val="007A40EB"/>
    <w:rsid w:val="007B0400"/>
    <w:rsid w:val="007B49AA"/>
    <w:rsid w:val="007B5167"/>
    <w:rsid w:val="007C219A"/>
    <w:rsid w:val="007C5EA6"/>
    <w:rsid w:val="007E1DA8"/>
    <w:rsid w:val="007E2167"/>
    <w:rsid w:val="007E5E50"/>
    <w:rsid w:val="007E5EC5"/>
    <w:rsid w:val="007F1335"/>
    <w:rsid w:val="007F2A37"/>
    <w:rsid w:val="007F3BE7"/>
    <w:rsid w:val="007F6C26"/>
    <w:rsid w:val="00800F72"/>
    <w:rsid w:val="00806294"/>
    <w:rsid w:val="00811795"/>
    <w:rsid w:val="00811DD1"/>
    <w:rsid w:val="00813208"/>
    <w:rsid w:val="00815157"/>
    <w:rsid w:val="00815F8F"/>
    <w:rsid w:val="008219E1"/>
    <w:rsid w:val="0083348E"/>
    <w:rsid w:val="008334AE"/>
    <w:rsid w:val="00835573"/>
    <w:rsid w:val="00836FED"/>
    <w:rsid w:val="0083724E"/>
    <w:rsid w:val="00841D53"/>
    <w:rsid w:val="00845CD2"/>
    <w:rsid w:val="00852B0D"/>
    <w:rsid w:val="0085425A"/>
    <w:rsid w:val="0085679A"/>
    <w:rsid w:val="0085726E"/>
    <w:rsid w:val="008575E3"/>
    <w:rsid w:val="008616F6"/>
    <w:rsid w:val="00863738"/>
    <w:rsid w:val="00864B7F"/>
    <w:rsid w:val="00874503"/>
    <w:rsid w:val="00881692"/>
    <w:rsid w:val="008858FF"/>
    <w:rsid w:val="0089075B"/>
    <w:rsid w:val="008A62DA"/>
    <w:rsid w:val="008A6576"/>
    <w:rsid w:val="008A6D3B"/>
    <w:rsid w:val="008B3CC5"/>
    <w:rsid w:val="008B52CD"/>
    <w:rsid w:val="008C4AAE"/>
    <w:rsid w:val="008C7C4D"/>
    <w:rsid w:val="008E0AD8"/>
    <w:rsid w:val="008E4261"/>
    <w:rsid w:val="008E70D4"/>
    <w:rsid w:val="008F4662"/>
    <w:rsid w:val="0090563F"/>
    <w:rsid w:val="00905D08"/>
    <w:rsid w:val="009161E4"/>
    <w:rsid w:val="009166B4"/>
    <w:rsid w:val="00923F0E"/>
    <w:rsid w:val="00925753"/>
    <w:rsid w:val="00936DDD"/>
    <w:rsid w:val="00937F8B"/>
    <w:rsid w:val="009425F4"/>
    <w:rsid w:val="00943BD8"/>
    <w:rsid w:val="00950961"/>
    <w:rsid w:val="00954B2C"/>
    <w:rsid w:val="0096626E"/>
    <w:rsid w:val="00966C5C"/>
    <w:rsid w:val="009727A8"/>
    <w:rsid w:val="00973104"/>
    <w:rsid w:val="009842F6"/>
    <w:rsid w:val="00995BF0"/>
    <w:rsid w:val="009A16D5"/>
    <w:rsid w:val="009A353D"/>
    <w:rsid w:val="009A71F2"/>
    <w:rsid w:val="009B0B77"/>
    <w:rsid w:val="009B511E"/>
    <w:rsid w:val="009B5215"/>
    <w:rsid w:val="009C6C86"/>
    <w:rsid w:val="009D37D3"/>
    <w:rsid w:val="00A16E6C"/>
    <w:rsid w:val="00A40F60"/>
    <w:rsid w:val="00A44E3D"/>
    <w:rsid w:val="00A45598"/>
    <w:rsid w:val="00A72D2E"/>
    <w:rsid w:val="00A74447"/>
    <w:rsid w:val="00A74CE5"/>
    <w:rsid w:val="00A77500"/>
    <w:rsid w:val="00A8536F"/>
    <w:rsid w:val="00A911E7"/>
    <w:rsid w:val="00A92170"/>
    <w:rsid w:val="00A939D9"/>
    <w:rsid w:val="00AB77AA"/>
    <w:rsid w:val="00AC1794"/>
    <w:rsid w:val="00AC4748"/>
    <w:rsid w:val="00AD1643"/>
    <w:rsid w:val="00AD5259"/>
    <w:rsid w:val="00AE1A02"/>
    <w:rsid w:val="00B01D36"/>
    <w:rsid w:val="00B02FF0"/>
    <w:rsid w:val="00B078CD"/>
    <w:rsid w:val="00B20712"/>
    <w:rsid w:val="00B43238"/>
    <w:rsid w:val="00B45DD3"/>
    <w:rsid w:val="00B46538"/>
    <w:rsid w:val="00B54B90"/>
    <w:rsid w:val="00B64FA8"/>
    <w:rsid w:val="00B73582"/>
    <w:rsid w:val="00B75216"/>
    <w:rsid w:val="00B755A2"/>
    <w:rsid w:val="00B75C1E"/>
    <w:rsid w:val="00B9104C"/>
    <w:rsid w:val="00B91D52"/>
    <w:rsid w:val="00B9490F"/>
    <w:rsid w:val="00BA0016"/>
    <w:rsid w:val="00BA1ACD"/>
    <w:rsid w:val="00BD09F8"/>
    <w:rsid w:val="00BD7278"/>
    <w:rsid w:val="00BE2395"/>
    <w:rsid w:val="00BF2D2F"/>
    <w:rsid w:val="00C005B2"/>
    <w:rsid w:val="00C1565C"/>
    <w:rsid w:val="00C21E0F"/>
    <w:rsid w:val="00C362CA"/>
    <w:rsid w:val="00C40286"/>
    <w:rsid w:val="00C41D3A"/>
    <w:rsid w:val="00C56BB2"/>
    <w:rsid w:val="00C649A9"/>
    <w:rsid w:val="00C772C1"/>
    <w:rsid w:val="00C77976"/>
    <w:rsid w:val="00C86EE4"/>
    <w:rsid w:val="00CA7176"/>
    <w:rsid w:val="00CC75B0"/>
    <w:rsid w:val="00CD2773"/>
    <w:rsid w:val="00CD3C04"/>
    <w:rsid w:val="00CD52C7"/>
    <w:rsid w:val="00CE01BA"/>
    <w:rsid w:val="00CE143B"/>
    <w:rsid w:val="00CE3A91"/>
    <w:rsid w:val="00D07DBA"/>
    <w:rsid w:val="00D23C16"/>
    <w:rsid w:val="00D27003"/>
    <w:rsid w:val="00D270FD"/>
    <w:rsid w:val="00D324AD"/>
    <w:rsid w:val="00D4410B"/>
    <w:rsid w:val="00D56115"/>
    <w:rsid w:val="00D86ED8"/>
    <w:rsid w:val="00D926D0"/>
    <w:rsid w:val="00D9307A"/>
    <w:rsid w:val="00D95B8B"/>
    <w:rsid w:val="00DA0EC9"/>
    <w:rsid w:val="00DB08DA"/>
    <w:rsid w:val="00DB4322"/>
    <w:rsid w:val="00DC2DA1"/>
    <w:rsid w:val="00DD1D0C"/>
    <w:rsid w:val="00DD62E6"/>
    <w:rsid w:val="00DE186D"/>
    <w:rsid w:val="00DE4AC2"/>
    <w:rsid w:val="00E0381D"/>
    <w:rsid w:val="00E1428E"/>
    <w:rsid w:val="00E167C7"/>
    <w:rsid w:val="00E212C1"/>
    <w:rsid w:val="00E55B78"/>
    <w:rsid w:val="00E66527"/>
    <w:rsid w:val="00E74313"/>
    <w:rsid w:val="00E76361"/>
    <w:rsid w:val="00E84020"/>
    <w:rsid w:val="00EB53A2"/>
    <w:rsid w:val="00EB7A80"/>
    <w:rsid w:val="00EC47F6"/>
    <w:rsid w:val="00EC797B"/>
    <w:rsid w:val="00ED0C47"/>
    <w:rsid w:val="00EE6D6D"/>
    <w:rsid w:val="00EF08C9"/>
    <w:rsid w:val="00EF535E"/>
    <w:rsid w:val="00F10A48"/>
    <w:rsid w:val="00F15CD2"/>
    <w:rsid w:val="00F22ECF"/>
    <w:rsid w:val="00F36922"/>
    <w:rsid w:val="00F471F7"/>
    <w:rsid w:val="00F47C8F"/>
    <w:rsid w:val="00F52717"/>
    <w:rsid w:val="00F66032"/>
    <w:rsid w:val="00F83B96"/>
    <w:rsid w:val="00F8441D"/>
    <w:rsid w:val="00F87C1E"/>
    <w:rsid w:val="00F9078A"/>
    <w:rsid w:val="00F958C2"/>
    <w:rsid w:val="00FA6FE9"/>
    <w:rsid w:val="00FA740E"/>
    <w:rsid w:val="00FC06C7"/>
    <w:rsid w:val="00FD5DB4"/>
    <w:rsid w:val="00FE1724"/>
    <w:rsid w:val="00FE375B"/>
    <w:rsid w:val="00FE753C"/>
    <w:rsid w:val="00FF2162"/>
    <w:rsid w:val="00FF2346"/>
    <w:rsid w:val="0EC20452"/>
    <w:rsid w:val="10C219BE"/>
    <w:rsid w:val="22E71298"/>
    <w:rsid w:val="40465B7F"/>
    <w:rsid w:val="4DA84E5D"/>
    <w:rsid w:val="4E9C645B"/>
    <w:rsid w:val="56E058B0"/>
    <w:rsid w:val="5FE825B8"/>
    <w:rsid w:val="7EA874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3"/>
    <w:semiHidden/>
    <w:unhideWhenUsed/>
    <w:qFormat/>
    <w:uiPriority w:val="99"/>
    <w:rPr>
      <w:sz w:val="18"/>
      <w:szCs w:val="18"/>
    </w:rPr>
  </w:style>
  <w:style w:type="paragraph" w:styleId="3">
    <w:name w:val="footer"/>
    <w:basedOn w:val="1"/>
    <w:link w:val="12"/>
    <w:qFormat/>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4">
    <w:name w:val="header"/>
    <w:basedOn w:val="1"/>
    <w:link w:val="11"/>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5">
    <w:name w:val="toc 1"/>
    <w:basedOn w:val="1"/>
    <w:next w:val="1"/>
    <w:qFormat/>
    <w:uiPriority w:val="39"/>
    <w:rPr>
      <w:rFonts w:ascii="Times New Roman" w:hAnsi="Times New Roman" w:eastAsia="宋体" w:cs="Times New Roman"/>
      <w:szCs w:val="24"/>
    </w:rPr>
  </w:style>
  <w:style w:type="paragraph" w:styleId="6">
    <w:name w:val="footnote text"/>
    <w:basedOn w:val="1"/>
    <w:link w:val="15"/>
    <w:semiHidden/>
    <w:unhideWhenUsed/>
    <w:qFormat/>
    <w:uiPriority w:val="99"/>
    <w:pPr>
      <w:snapToGrid w:val="0"/>
      <w:jc w:val="left"/>
    </w:pPr>
    <w:rPr>
      <w:rFonts w:ascii="Calibri" w:hAnsi="Calibri" w:eastAsia="宋体" w:cs="Times New Roman"/>
      <w:sz w:val="18"/>
      <w:szCs w:val="18"/>
    </w:rPr>
  </w:style>
  <w:style w:type="paragraph" w:styleId="7">
    <w:name w:val="toc 2"/>
    <w:basedOn w:val="1"/>
    <w:next w:val="1"/>
    <w:qFormat/>
    <w:uiPriority w:val="39"/>
    <w:pPr>
      <w:ind w:left="420" w:leftChars="200"/>
    </w:pPr>
    <w:rPr>
      <w:rFonts w:ascii="Times New Roman" w:hAnsi="Times New Roman" w:eastAsia="宋体" w:cs="Times New Roman"/>
      <w:szCs w:val="24"/>
    </w:rPr>
  </w:style>
  <w:style w:type="character" w:styleId="10">
    <w:name w:val="footnote reference"/>
    <w:semiHidden/>
    <w:unhideWhenUsed/>
    <w:uiPriority w:val="99"/>
    <w:rPr>
      <w:vertAlign w:val="superscript"/>
    </w:rPr>
  </w:style>
  <w:style w:type="character" w:customStyle="1" w:styleId="11">
    <w:name w:val="页眉 Char"/>
    <w:basedOn w:val="9"/>
    <w:link w:val="4"/>
    <w:qFormat/>
    <w:uiPriority w:val="99"/>
    <w:rPr>
      <w:rFonts w:ascii="Times New Roman" w:hAnsi="Times New Roman" w:eastAsia="宋体" w:cs="Times New Roman"/>
      <w:sz w:val="18"/>
      <w:szCs w:val="18"/>
    </w:rPr>
  </w:style>
  <w:style w:type="character" w:customStyle="1" w:styleId="12">
    <w:name w:val="页脚 Char"/>
    <w:basedOn w:val="9"/>
    <w:link w:val="3"/>
    <w:qFormat/>
    <w:uiPriority w:val="99"/>
    <w:rPr>
      <w:rFonts w:ascii="Times New Roman" w:hAnsi="Times New Roman" w:eastAsia="宋体" w:cs="Times New Roman"/>
      <w:sz w:val="18"/>
      <w:szCs w:val="18"/>
    </w:rPr>
  </w:style>
  <w:style w:type="character" w:customStyle="1" w:styleId="13">
    <w:name w:val="批注框文本 Char"/>
    <w:basedOn w:val="9"/>
    <w:link w:val="2"/>
    <w:semiHidden/>
    <w:qFormat/>
    <w:uiPriority w:val="99"/>
    <w:rPr>
      <w:sz w:val="18"/>
      <w:szCs w:val="18"/>
    </w:rPr>
  </w:style>
  <w:style w:type="paragraph" w:customStyle="1" w:styleId="14">
    <w:name w:val="Default"/>
    <w:uiPriority w:val="0"/>
    <w:pPr>
      <w:widowControl w:val="0"/>
      <w:autoSpaceDE w:val="0"/>
      <w:autoSpaceDN w:val="0"/>
      <w:adjustRightInd w:val="0"/>
    </w:pPr>
    <w:rPr>
      <w:rFonts w:ascii="Times New Roman" w:hAnsi="Times New Roman" w:cs="Times New Roman" w:eastAsiaTheme="minorEastAsia"/>
      <w:color w:val="000000"/>
      <w:kern w:val="0"/>
      <w:sz w:val="24"/>
      <w:szCs w:val="24"/>
      <w:lang w:val="en-US" w:eastAsia="zh-CN" w:bidi="ar-SA"/>
    </w:rPr>
  </w:style>
  <w:style w:type="character" w:customStyle="1" w:styleId="15">
    <w:name w:val="脚注文本 Char"/>
    <w:basedOn w:val="9"/>
    <w:link w:val="6"/>
    <w:semiHidden/>
    <w:uiPriority w:val="99"/>
    <w:rPr>
      <w:rFonts w:ascii="Calibri" w:hAnsi="Calibri" w:eastAsia="宋体" w:cs="Times New Roman"/>
      <w:sz w:val="18"/>
      <w:szCs w:val="18"/>
    </w:rPr>
  </w:style>
  <w:style w:type="paragraph" w:customStyle="1" w:styleId="16">
    <w:name w:val="单元格样式1"/>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17">
    <w:name w:val="单元格样式4"/>
    <w:basedOn w:val="1"/>
    <w:qFormat/>
    <w:uiPriority w:val="0"/>
    <w:pPr>
      <w:widowControl/>
      <w:jc w:val="right"/>
    </w:pPr>
    <w:rPr>
      <w:rFonts w:ascii="方正书宋_GBK" w:hAnsi="方正书宋_GBK" w:eastAsia="方正书宋_GBK" w:cs="方正书宋_GBK"/>
      <w:kern w:val="0"/>
      <w:szCs w:val="24"/>
      <w:lang w:eastAsia="uk-UA"/>
    </w:rPr>
  </w:style>
  <w:style w:type="paragraph" w:customStyle="1" w:styleId="18">
    <w:name w:val="单元格样式2"/>
    <w:basedOn w:val="1"/>
    <w:qFormat/>
    <w:uiPriority w:val="0"/>
    <w:pPr>
      <w:widowControl/>
      <w:jc w:val="left"/>
    </w:pPr>
    <w:rPr>
      <w:rFonts w:ascii="方正书宋_GBK" w:hAnsi="方正书宋_GBK" w:eastAsia="方正书宋_GBK" w:cs="方正书宋_GBK"/>
      <w:kern w:val="0"/>
      <w:szCs w:val="24"/>
      <w:lang w:eastAsia="uk-UA"/>
    </w:rPr>
  </w:style>
  <w:style w:type="paragraph" w:customStyle="1" w:styleId="19">
    <w:name w:val="单元格样式3"/>
    <w:basedOn w:val="1"/>
    <w:qFormat/>
    <w:uiPriority w:val="0"/>
    <w:pPr>
      <w:widowControl/>
      <w:jc w:val="center"/>
    </w:pPr>
    <w:rPr>
      <w:rFonts w:ascii="方正书宋_GBK" w:hAnsi="方正书宋_GBK" w:eastAsia="方正书宋_GBK" w:cs="方正书宋_GBK"/>
      <w:kern w:val="0"/>
      <w:szCs w:val="24"/>
      <w:lang w:eastAsia="uk-UA"/>
    </w:rPr>
  </w:style>
  <w:style w:type="paragraph" w:customStyle="1" w:styleId="20">
    <w:name w:val="单元格样式6"/>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21">
    <w:name w:val="单元格样式7"/>
    <w:basedOn w:val="1"/>
    <w:qFormat/>
    <w:uiPriority w:val="0"/>
    <w:pPr>
      <w:widowControl/>
      <w:jc w:val="right"/>
    </w:pPr>
    <w:rPr>
      <w:rFonts w:ascii="方正书宋_GBK" w:hAnsi="方正书宋_GBK" w:eastAsia="方正书宋_GBK" w:cs="方正书宋_GBK"/>
      <w:b/>
      <w:kern w:val="0"/>
      <w:szCs w:val="24"/>
      <w:lang w:eastAsia="uk-UA"/>
    </w:rPr>
  </w:style>
  <w:style w:type="paragraph" w:customStyle="1" w:styleId="22">
    <w:name w:val="单元格样式5"/>
    <w:basedOn w:val="1"/>
    <w:qFormat/>
    <w:uiPriority w:val="0"/>
    <w:pPr>
      <w:widowControl/>
      <w:jc w:val="left"/>
    </w:pPr>
    <w:rPr>
      <w:rFonts w:ascii="方正书宋_GBK" w:hAnsi="方正书宋_GBK" w:eastAsia="方正书宋_GBK" w:cs="方正书宋_GBK"/>
      <w:b/>
      <w:kern w:val="0"/>
      <w:szCs w:val="24"/>
      <w:lang w:eastAsia="uk-UA"/>
    </w:rPr>
  </w:style>
  <w:style w:type="paragraph" w:customStyle="1" w:styleId="23">
    <w:name w:val="插入文本样式-插入总体目标文件"/>
    <w:basedOn w:val="1"/>
    <w:qFormat/>
    <w:uiPriority w:val="0"/>
    <w:pPr>
      <w:widowControl/>
      <w:spacing w:line="500" w:lineRule="exact"/>
      <w:ind w:firstLine="560"/>
      <w:jc w:val="left"/>
    </w:pPr>
    <w:rPr>
      <w:rFonts w:ascii="Times New Roman" w:hAnsi="Times New Roman" w:eastAsia="方正仿宋_GBK" w:cs="Times New Roman"/>
      <w:kern w:val="0"/>
      <w:sz w:val="28"/>
      <w:szCs w:val="24"/>
      <w:lang w:eastAsia="uk-UA"/>
    </w:rPr>
  </w:style>
  <w:style w:type="paragraph" w:customStyle="1" w:styleId="24">
    <w:name w:val="插入文本样式-插入职责分类绩效目标文件"/>
    <w:basedOn w:val="1"/>
    <w:qFormat/>
    <w:uiPriority w:val="0"/>
    <w:pPr>
      <w:widowControl/>
      <w:spacing w:line="500" w:lineRule="exact"/>
      <w:ind w:firstLine="560"/>
      <w:jc w:val="left"/>
    </w:pPr>
    <w:rPr>
      <w:rFonts w:ascii="Times New Roman" w:hAnsi="Times New Roman" w:eastAsia="方正仿宋_GBK" w:cs="Times New Roman"/>
      <w:kern w:val="0"/>
      <w:sz w:val="28"/>
      <w:szCs w:val="24"/>
      <w:lang w:eastAsia="uk-UA"/>
    </w:rPr>
  </w:style>
  <w:style w:type="paragraph" w:customStyle="1" w:styleId="25">
    <w:name w:val="插入文本样式-插入实现年度发展规划目标的保障措施文件"/>
    <w:basedOn w:val="1"/>
    <w:qFormat/>
    <w:uiPriority w:val="0"/>
    <w:pPr>
      <w:widowControl/>
      <w:spacing w:line="500" w:lineRule="exact"/>
      <w:ind w:firstLine="560"/>
      <w:jc w:val="left"/>
    </w:pPr>
    <w:rPr>
      <w:rFonts w:ascii="Times New Roman" w:hAnsi="Times New Roman" w:eastAsia="方正仿宋_GBK" w:cs="Times New Roman"/>
      <w:kern w:val="0"/>
      <w:sz w:val="28"/>
      <w:szCs w:val="24"/>
      <w:lang w:eastAsia="uk-U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2B59E5-6E88-49CD-9515-645CE100CFE6}">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23</Pages>
  <Words>8609</Words>
  <Characters>9039</Characters>
  <Lines>71</Lines>
  <Paragraphs>20</Paragraphs>
  <TotalTime>3</TotalTime>
  <ScaleCrop>false</ScaleCrop>
  <LinksUpToDate>false</LinksUpToDate>
  <CharactersWithSpaces>9195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2020-01-13T03:27:00Z</dcterms:created>
  <dc:creator>guest</dc:creator>
  <cp:lastModifiedBy>妥妥的吧</cp:lastModifiedBy>
  <cp:lastPrinted>2022-01-26T02:42:00Z</cp:lastPrinted>
  <dcterms:modified xsi:type="dcterms:W3CDTF">2023-07-21T04:35:19Z</dcterms:modified>
  <cp:revision>104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EB04F26167A348C1A53C39A0F18FE6AB_12</vt:lpwstr>
  </property>
</Properties>
</file>