
<file path=[Content_Types].xml><?xml version="1.0" encoding="utf-8"?>
<Types xmlns="http://schemas.openxmlformats.org/package/2006/content-types">
  <Default Extension="xml" ContentType="application/xml"/>
  <Default Extension="bmp" ContentType="image/bmp"/>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ectPr>
          <w:headerReference r:id="rId3" w:type="default"/>
          <w:pgSz w:w="11906" w:h="16838"/>
          <w:pgMar w:top="0" w:right="0" w:bottom="0" w:left="0" w:header="851" w:footer="992" w:gutter="0"/>
          <w:cols w:space="425" w:num="1"/>
          <w:titlePg/>
          <w:docGrid w:type="lines" w:linePitch="312" w:charSpace="0"/>
        </w:sectPr>
      </w:pPr>
      <w:r>
        <mc:AlternateContent>
          <mc:Choice Requires="wpg">
            <w:drawing>
              <wp:anchor distT="0" distB="0" distL="114300" distR="114300" simplePos="0" relativeHeight="251666432" behindDoc="1" locked="0" layoutInCell="1" allowOverlap="1">
                <wp:simplePos x="0" y="0"/>
                <wp:positionH relativeFrom="column">
                  <wp:posOffset>-31750</wp:posOffset>
                </wp:positionH>
                <wp:positionV relativeFrom="paragraph">
                  <wp:posOffset>-10160</wp:posOffset>
                </wp:positionV>
                <wp:extent cx="7623175" cy="4364355"/>
                <wp:effectExtent l="0" t="0" r="0" b="0"/>
                <wp:wrapNone/>
                <wp:docPr id="4" name="组合 4"/>
                <wp:cNvGraphicFramePr/>
                <a:graphic xmlns:a="http://schemas.openxmlformats.org/drawingml/2006/main">
                  <a:graphicData uri="http://schemas.microsoft.com/office/word/2010/wordprocessingGroup">
                    <wpg:wgp>
                      <wpg:cNvGrpSpPr/>
                      <wpg:grpSpPr>
                        <a:xfrm>
                          <a:off x="0" y="0"/>
                          <a:ext cx="7623175" cy="4364355"/>
                          <a:chOff x="13622" y="283"/>
                          <a:chExt cx="12005" cy="6873"/>
                        </a:xfrm>
                        <a:solidFill>
                          <a:schemeClr val="bg1"/>
                        </a:solidFill>
                      </wpg:grpSpPr>
                      <wps:wsp>
                        <wps:cNvPr id="6" name="矩形 5"/>
                        <wps:cNvSpPr/>
                        <wps:spPr>
                          <a:xfrm>
                            <a:off x="13622" y="283"/>
                            <a:ext cx="12005" cy="617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文本框 10"/>
                        <wps:cNvSpPr txBox="1"/>
                        <wps:spPr>
                          <a:xfrm>
                            <a:off x="17183" y="5452"/>
                            <a:ext cx="8083" cy="1704"/>
                          </a:xfrm>
                          <a:prstGeom prst="rect">
                            <a:avLst/>
                          </a:prstGeom>
                          <a:grpFill/>
                        </wps:spPr>
                        <wps:txbx>
                          <w:txbxContent>
                            <w:p>
                              <w:pPr>
                                <w:jc w:val="left"/>
                                <w:rPr>
                                  <w:color w:val="000000" w:themeColor="text1"/>
                                  <w:kern w:val="0"/>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部门决算公开文本</w:t>
                              </w:r>
                            </w:p>
                          </w:txbxContent>
                        </wps:txbx>
                        <wps:bodyPr wrap="square" rtlCol="0">
                          <a:spAutoFit/>
                        </wps:bodyPr>
                      </wps:wsp>
                    </wpg:wgp>
                  </a:graphicData>
                </a:graphic>
              </wp:anchor>
            </w:drawing>
          </mc:Choice>
          <mc:Fallback>
            <w:pict>
              <v:group id="_x0000_s1026" o:spid="_x0000_s1026" o:spt="203" style="position:absolute;left:0pt;margin-left:-2.5pt;margin-top:-0.8pt;height:343.65pt;width:600.25pt;z-index:-251650048;mso-width-relative:page;mso-height-relative:page;" coordorigin="13622,283" coordsize="12005,6873" o:gfxdata="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">
                <o:lock v:ext="edit" aspectratio="f"/>
                <v:rect id="矩形 5" o:spid="_x0000_s1026" o:spt="1" style="position:absolute;left:13622;top:283;height:6170;width:12005;v-text-anchor:middle;" filled="t" stroked="f" coordsize="21600,21600" o:gfxdata="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i0eRvQAA&#10;ANo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shape id="文本框 10" o:spid="_x0000_s1026" o:spt="202" type="#_x0000_t202" style="position:absolute;left:17183;top:5452;height:1704;width:8083;" filled="t" stroked="f" coordsize="21600,21600" o:gfxdata="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GZxFCvQAA&#10;ANsAAAAPAAAAAAAAAAEAIAAAACIAAABkcnMvZG93bnJldi54bWxQSwECFAAUAAAACACHTuJAMy8F&#10;njsAAAA5AAAAEAAAAAAAAAABACAAAAAMAQAAZHJzL3NoYXBleG1sLnhtbFBLBQYAAAAABgAGAFsB&#10;AAC2AwAAAAA=&#10;">
                  <v:fill on="t" focussize="0,0"/>
                  <v:stroke on="f"/>
                  <v:imagedata o:title=""/>
                  <o:lock v:ext="edit" aspectratio="f"/>
                  <v:textbox style="mso-fit-shape-to-text:t;">
                    <w:txbxContent>
                      <w:p>
                        <w:pPr>
                          <w:jc w:val="left"/>
                          <w:rPr>
                            <w:color w:val="000000" w:themeColor="text1"/>
                            <w:kern w:val="0"/>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部门决算公开文本</w:t>
                        </w:r>
                      </w:p>
                    </w:txbxContent>
                  </v:textbox>
                </v:shape>
              </v:group>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1349375</wp:posOffset>
                </wp:positionH>
                <wp:positionV relativeFrom="paragraph">
                  <wp:posOffset>8808085</wp:posOffset>
                </wp:positionV>
                <wp:extent cx="5132705" cy="1015365"/>
                <wp:effectExtent l="0" t="0" r="0" b="0"/>
                <wp:wrapNone/>
                <wp:docPr id="1" name="文本框 10"/>
                <wp:cNvGraphicFramePr/>
                <a:graphic xmlns:a="http://schemas.openxmlformats.org/drawingml/2006/main">
                  <a:graphicData uri="http://schemas.microsoft.com/office/word/2010/wordprocessingShape">
                    <wps:wsp>
                      <wps:cNvSpPr txBox="1"/>
                      <wps:spPr>
                        <a:xfrm>
                          <a:off x="0" y="0"/>
                          <a:ext cx="5132705" cy="1015365"/>
                        </a:xfrm>
                        <a:prstGeom prst="rect">
                          <a:avLst/>
                        </a:prstGeom>
                        <a:noFill/>
                      </wps:spPr>
                      <wps:txbx>
                        <w:txbxContent>
                          <w:p>
                            <w:pPr>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二0二0年十二月</w:t>
                            </w:r>
                          </w:p>
                        </w:txbxContent>
                      </wps:txbx>
                      <wps:bodyPr wrap="square" rtlCol="0">
                        <a:spAutoFit/>
                      </wps:bodyPr>
                    </wps:wsp>
                  </a:graphicData>
                </a:graphic>
              </wp:anchor>
            </w:drawing>
          </mc:Choice>
          <mc:Fallback>
            <w:pict>
              <v:shape id="文本框 10" o:spid="_x0000_s1026" o:spt="202" type="#_x0000_t202" style="position:absolute;left:0pt;margin-left:106.25pt;margin-top:693.55pt;height:79.95pt;width:404.15pt;z-index:251663360;mso-width-relative:page;mso-height-relative:page;" filled="f" stroked="f" coordsize="21600,21600" o:gfxdata="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i9lks2QAAAA4BAAAPAAAAAAAAAAEAIAAAACIAAABkcnMvZG93bnJldi54bWxQSwEC&#10;FAAUAAAACACHTuJAVbBkcboBAABfAwAADgAAAAAAAAABACAAAAAoAQAAZHJzL2Uyb0RvYy54bWxQ&#10;SwUGAAAAAAYABgBZAQAAVAUAAAAA&#10;">
                <v:fill on="f" focussize="0,0"/>
                <v:stroke on="f"/>
                <v:imagedata o:title=""/>
                <o:lock v:ext="edit" aspectratio="f"/>
                <v:textbox style="mso-fit-shape-to-text:t;">
                  <w:txbxContent>
                    <w:p>
                      <w:pPr>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二0二0年十二月</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679450</wp:posOffset>
                </wp:positionH>
                <wp:positionV relativeFrom="paragraph">
                  <wp:posOffset>2952115</wp:posOffset>
                </wp:positionV>
                <wp:extent cx="1548765" cy="1548765"/>
                <wp:effectExtent l="0" t="0" r="13335" b="13335"/>
                <wp:wrapNone/>
                <wp:docPr id="9" name="椭圆 8"/>
                <wp:cNvGraphicFramePr/>
                <a:graphic xmlns:a="http://schemas.openxmlformats.org/drawingml/2006/main">
                  <a:graphicData uri="http://schemas.microsoft.com/office/word/2010/wordprocessingShape">
                    <wps:wsp>
                      <wps:cNvSpPr/>
                      <wps:spPr>
                        <a:xfrm>
                          <a:off x="0" y="0"/>
                          <a:ext cx="1548721" cy="1548721"/>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id="椭圆 8" o:spid="_x0000_s1026" o:spt="3" type="#_x0000_t3" style="position:absolute;left:0pt;margin-left:53.5pt;margin-top:232.45pt;height:121.95pt;width:121.95pt;z-index:251661312;v-text-anchor:middle;mso-width-relative:page;mso-height-relative:page;" fillcolor="#FFFFFF [3212]" filled="t" stroked="f" coordsize="21600,21600" o:gfxdata="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hslzntkAAAALAQAADwAAAAAAAAABACAAAAAiAAAAZHJzL2Rvd25yZXYueG1sUEsBAhQAFAAAAAgA&#10;h07iQDgk+0LrAQAAygMAAA4AAAAAAAAAAQAgAAAAKAEAAGRycy9lMm9Eb2MueG1sUEsFBgAAAAAG&#10;AAYAWQEAAIUFAAAAAA==&#10;">
                <v:fill on="t" focussize="0,0"/>
                <v:stroke on="f" weight="1pt" miterlimit="8" joinstyle="miter"/>
                <v:imagedata o:title=""/>
                <o:lock v:ext="edit" aspectratio="f"/>
              </v:shape>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2346325</wp:posOffset>
                </wp:positionH>
                <wp:positionV relativeFrom="paragraph">
                  <wp:posOffset>3639820</wp:posOffset>
                </wp:positionV>
                <wp:extent cx="4313555" cy="396875"/>
                <wp:effectExtent l="0" t="0" r="0" b="0"/>
                <wp:wrapNone/>
                <wp:docPr id="12" name="矩形 11"/>
                <wp:cNvGraphicFramePr/>
                <a:graphic xmlns:a="http://schemas.openxmlformats.org/drawingml/2006/main">
                  <a:graphicData uri="http://schemas.microsoft.com/office/word/2010/wordprocessingShape">
                    <wps:wsp>
                      <wps:cNvSpPr/>
                      <wps:spPr>
                        <a:xfrm>
                          <a:off x="0" y="0"/>
                          <a:ext cx="4313555" cy="396875"/>
                        </a:xfrm>
                        <a:prstGeom prst="rect">
                          <a:avLst/>
                        </a:prstGeom>
                      </wps:spPr>
                      <wps:txbx>
                        <w:txbxContent>
                          <w:p/>
                        </w:txbxContent>
                      </wps:txbx>
                      <wps:bodyPr wrap="none">
                        <a:spAutoFit/>
                      </wps:bodyPr>
                    </wps:wsp>
                  </a:graphicData>
                </a:graphic>
              </wp:anchor>
            </w:drawing>
          </mc:Choice>
          <mc:Fallback>
            <w:pict>
              <v:rect id="矩形 11" o:spid="_x0000_s1026" o:spt="1" style="position:absolute;left:0pt;margin-left:184.75pt;margin-top:286.6pt;height:31.25pt;width:339.65pt;mso-wrap-style:none;z-index:251662336;mso-width-relative:page;mso-height-relative:page;" filled="f" stroked="f" coordsize="21600,21600" o:gfxdata="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CWZBfR2wAAAAwBAAAP&#10;AAAAAAAAAAEAIAAAACIAAABkcnMvZG93bnJldi54bWxQSwECFAAUAAAACACHTuJABWT5JKMBAAA6&#10;AwAADgAAAAAAAAABACAAAAAqAQAAZHJzL2Uyb0RvYy54bWxQSwUGAAAAAAYABgBZAQAAPwUAAAAA&#10;">
                <v:fill on="f" focussize="0,0"/>
                <v:stroke on="f"/>
                <v:imagedata o:title=""/>
                <o:lock v:ext="edit" aspectratio="f"/>
                <v:textbox style="mso-fit-shape-to-text:t;">
                  <w:txbxContent>
                    <w:p/>
                  </w:txbxContent>
                </v:textbox>
              </v:rect>
            </w:pict>
          </mc:Fallback>
        </mc:AlternateContent>
      </w:r>
    </w:p>
    <w:p/>
    <w:p>
      <w:pPr>
        <w:jc w:val="center"/>
        <w:rPr>
          <w:rFonts w:ascii="黑体" w:hAnsi="黑体" w:eastAsia="黑体" w:cs="黑体"/>
          <w:sz w:val="56"/>
          <w:szCs w:val="72"/>
        </w:rPr>
      </w:pPr>
    </w:p>
    <w:p>
      <w:pPr>
        <w:jc w:val="center"/>
        <w:rPr>
          <w:rFonts w:ascii="黑体" w:hAnsi="黑体" w:eastAsia="黑体" w:cs="黑体"/>
          <w:sz w:val="56"/>
          <w:szCs w:val="72"/>
        </w:rPr>
      </w:pPr>
    </w:p>
    <w:p>
      <w:pPr>
        <w:rPr>
          <w:rFonts w:ascii="黑体" w:hAnsi="Times New Roman" w:eastAsia="黑体" w:cs="Times New Roman"/>
          <w:sz w:val="48"/>
          <w:szCs w:val="48"/>
        </w:rPr>
      </w:pPr>
      <w:r>
        <mc:AlternateContent>
          <mc:Choice Requires="wps">
            <w:drawing>
              <wp:anchor distT="0" distB="0" distL="114300" distR="114300" simplePos="0" relativeHeight="251664384" behindDoc="0" locked="0" layoutInCell="1" allowOverlap="1">
                <wp:simplePos x="0" y="0"/>
                <wp:positionH relativeFrom="column">
                  <wp:posOffset>-182245</wp:posOffset>
                </wp:positionH>
                <wp:positionV relativeFrom="paragraph">
                  <wp:posOffset>1154430</wp:posOffset>
                </wp:positionV>
                <wp:extent cx="1313815" cy="1313815"/>
                <wp:effectExtent l="0" t="0" r="635" b="635"/>
                <wp:wrapNone/>
                <wp:docPr id="10" name="椭圆 9"/>
                <wp:cNvGraphicFramePr/>
                <a:graphic xmlns:a="http://schemas.openxmlformats.org/drawingml/2006/main">
                  <a:graphicData uri="http://schemas.microsoft.com/office/word/2010/wordprocessingShape">
                    <wps:wsp>
                      <wps:cNvSpPr/>
                      <wps:spPr>
                        <a:xfrm>
                          <a:off x="0" y="0"/>
                          <a:ext cx="1313815" cy="1313815"/>
                        </a:xfrm>
                        <a:prstGeom prst="ellipse">
                          <a:avLst/>
                        </a:prstGeom>
                        <a:solidFill>
                          <a:srgbClr val="1F2959"/>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id="椭圆 9" o:spid="_x0000_s1026" o:spt="3" type="#_x0000_t3" style="position:absolute;left:0pt;margin-left:-14.35pt;margin-top:90.9pt;height:103.45pt;width:103.45pt;z-index:251664384;v-text-anchor:middle;mso-width-relative:page;mso-height-relative:page;" fillcolor="#1F2959" filled="t" stroked="f" coordsize="21600,21600" o:gfxdata="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zFFLXAAAACwEAAA8AAAAAAAAAAQAgAAAAIgAAAGRycy9kb3ducmV2LnhtbFBLAQIUABQAAAAI&#10;AIdO4kANqfbm7gEAAMsDAAAOAAAAAAAAAAEAIAAAACYBAABkcnMvZTJvRG9jLnhtbFBLBQYAAAAA&#10;BgAGAFkBAACGBQAAAAA=&#10;">
                <v:fill on="t" focussize="0,0"/>
                <v:stroke on="f" weight="1pt" miterlimit="8" joinstyle="miter"/>
                <v:imagedata o:title=""/>
                <o:lock v:ext="edit" aspectratio="f"/>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-545465</wp:posOffset>
                </wp:positionH>
                <wp:positionV relativeFrom="paragraph">
                  <wp:posOffset>1437005</wp:posOffset>
                </wp:positionV>
                <wp:extent cx="2040255" cy="883920"/>
                <wp:effectExtent l="0" t="0" r="0" b="0"/>
                <wp:wrapNone/>
                <wp:docPr id="15" name="矩形 14"/>
                <wp:cNvGraphicFramePr/>
                <a:graphic xmlns:a="http://schemas.openxmlformats.org/drawingml/2006/main">
                  <a:graphicData uri="http://schemas.microsoft.com/office/word/2010/wordprocessingShape">
                    <wps:wsp>
                      <wps:cNvSpPr/>
                      <wps:spPr>
                        <a:xfrm>
                          <a:off x="0" y="0"/>
                          <a:ext cx="2040255" cy="883920"/>
                        </a:xfrm>
                        <a:prstGeom prst="rect">
                          <a:avLst/>
                        </a:prstGeom>
                      </wps:spPr>
                      <wps:txbx>
                        <w:txbxContent>
                          <w:p>
                            <w:pPr>
                              <w:spacing w:line="360" w:lineRule="auto"/>
                              <w:jc w:val="center"/>
                              <w:rPr>
                                <w:kern w:val="0"/>
                                <w:sz w:val="28"/>
                                <w:szCs w:val="28"/>
                              </w:rPr>
                            </w:pPr>
                            <w:r>
                              <w:rPr>
                                <w:rFonts w:hint="eastAsia" w:ascii="Yu Gothic UI Semibold" w:hAnsi="Yu Gothic UI Semibold" w:eastAsia="宋体"/>
                                <w:color w:val="FFFFFF" w:themeColor="background1"/>
                                <w:kern w:val="24"/>
                                <w:sz w:val="72"/>
                                <w:szCs w:val="72"/>
                                <w14:textFill>
                                  <w14:solidFill>
                                    <w14:schemeClr w14:val="bg1"/>
                                  </w14:solidFill>
                                </w14:textFill>
                              </w:rPr>
                              <w:t>2019</w:t>
                            </w:r>
                          </w:p>
                        </w:txbxContent>
                      </wps:txbx>
                      <wps:bodyPr wrap="square">
                        <a:spAutoFit/>
                      </wps:bodyPr>
                    </wps:wsp>
                  </a:graphicData>
                </a:graphic>
              </wp:anchor>
            </w:drawing>
          </mc:Choice>
          <mc:Fallback>
            <w:pict>
              <v:rect id="矩形 14" o:spid="_x0000_s1026" o:spt="1" style="position:absolute;left:0pt;margin-left:-42.95pt;margin-top:113.15pt;height:69.6pt;width:160.65pt;z-index:251665408;mso-width-relative:page;mso-height-relative:page;" filled="f" stroked="f" coordsize="21600,21600" o:gfxdata="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Q5aEiNsAAAALAQAA&#10;DwAAAAAAAAABACAAAAAiAAAAZHJzL2Rvd25yZXYueG1sUEsBAhQAFAAAAAgAh07iQPq4kVekAQAA&#10;PAMAAA4AAAAAAAAAAQAgAAAAKgEAAGRycy9lMm9Eb2MueG1sUEsFBgAAAAAGAAYAWQEAAEAFAAAA&#10;AA==&#10;">
                <v:fill on="f" focussize="0,0"/>
                <v:stroke on="f"/>
                <v:imagedata o:title=""/>
                <o:lock v:ext="edit" aspectratio="f"/>
                <v:textbox style="mso-fit-shape-to-text:t;">
                  <w:txbxContent>
                    <w:p>
                      <w:pPr>
                        <w:spacing w:line="360" w:lineRule="auto"/>
                        <w:jc w:val="center"/>
                        <w:rPr>
                          <w:kern w:val="0"/>
                          <w:sz w:val="28"/>
                          <w:szCs w:val="28"/>
                        </w:rPr>
                      </w:pPr>
                      <w:r>
                        <w:rPr>
                          <w:rFonts w:hint="eastAsia" w:ascii="Yu Gothic UI Semibold" w:hAnsi="Yu Gothic UI Semibold" w:eastAsia="宋体"/>
                          <w:color w:val="FFFFFF" w:themeColor="background1"/>
                          <w:kern w:val="24"/>
                          <w:sz w:val="72"/>
                          <w:szCs w:val="72"/>
                          <w14:textFill>
                            <w14:solidFill>
                              <w14:schemeClr w14:val="bg1"/>
                            </w14:solidFill>
                          </w14:textFill>
                        </w:rPr>
                        <w:t>2019</w:t>
                      </w:r>
                    </w:p>
                  </w:txbxContent>
                </v:textbox>
              </v:rect>
            </w:pict>
          </mc:Fallback>
        </mc:AlternateContent>
      </w:r>
      <w:r>
        <w:rPr>
          <w:rFonts w:hint="eastAsia" w:ascii="黑体" w:hAnsi="Times New Roman" w:eastAsia="黑体" w:cs="Times New Roman"/>
          <w:sz w:val="48"/>
          <w:szCs w:val="48"/>
        </w:rPr>
        <w:br w:type="page"/>
      </w:r>
    </w:p>
    <w:p>
      <w:pPr>
        <w:tabs>
          <w:tab w:val="left" w:pos="2728"/>
        </w:tabs>
        <w:rPr>
          <w:rFonts w:ascii="黑体" w:hAnsi="Times New Roman" w:eastAsia="黑体" w:cs="Times New Roman"/>
          <w:sz w:val="48"/>
          <w:szCs w:val="48"/>
        </w:rPr>
      </w:pPr>
      <w:r>
        <w:rPr>
          <w:rFonts w:hint="eastAsia" w:ascii="黑体" w:hAnsi="Times New Roman" w:eastAsia="黑体" w:cs="Times New Roman"/>
          <w:sz w:val="48"/>
          <w:szCs w:val="48"/>
        </w:rPr>
        <w:tab/>
      </w:r>
    </w:p>
    <w:p>
      <w:pPr>
        <w:rPr>
          <w:rFonts w:ascii="黑体" w:hAnsi="黑体" w:eastAsia="黑体" w:cs="黑体"/>
          <w:sz w:val="56"/>
          <w:szCs w:val="72"/>
        </w:rPr>
      </w:pPr>
    </w:p>
    <w:p>
      <w:pPr>
        <w:rPr>
          <w:rFonts w:ascii="黑体" w:hAnsi="黑体" w:eastAsia="黑体" w:cs="黑体"/>
          <w:b/>
          <w:bCs/>
          <w:sz w:val="72"/>
          <w:szCs w:val="96"/>
        </w:rPr>
      </w:pPr>
      <w:bookmarkStart w:id="0" w:name="_GoBack"/>
      <w:r>
        <w:rPr>
          <w:rFonts w:hint="eastAsia" w:ascii="黑体" w:hAnsi="黑体" w:eastAsia="黑体" w:cs="黑体"/>
          <w:b/>
          <w:bCs/>
          <w:sz w:val="72"/>
          <w:szCs w:val="96"/>
        </w:rPr>
        <w:t>2019年度部门决算公开文本</w:t>
      </w:r>
    </w:p>
    <w:bookmarkEnd w:id="0"/>
    <w:p>
      <w:pPr>
        <w:spacing w:line="36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napToGrid w:val="0"/>
        <w:spacing w:line="480" w:lineRule="auto"/>
        <w:rPr>
          <w:rFonts w:ascii="黑体" w:hAnsi="黑体" w:eastAsia="黑体" w:cs="黑体"/>
          <w:sz w:val="56"/>
          <w:szCs w:val="72"/>
        </w:rPr>
      </w:pPr>
    </w:p>
    <w:p>
      <w:pPr>
        <w:snapToGrid w:val="0"/>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永清县司法局</w:t>
      </w:r>
    </w:p>
    <w:p>
      <w:pPr>
        <w:snapToGrid w:val="0"/>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sectPr>
          <w:headerReference r:id="rId5" w:type="first"/>
          <w:footerReference r:id="rId6" w:type="first"/>
          <w:headerReference r:id="rId4" w:type="default"/>
          <w:type w:val="continuous"/>
          <w:pgSz w:w="11906" w:h="16838"/>
          <w:pgMar w:top="2041" w:right="1531" w:bottom="2041" w:left="1531" w:header="851" w:footer="992" w:gutter="0"/>
          <w:cols w:space="0" w:num="1"/>
          <w:titlePg/>
          <w:docGrid w:type="lines" w:linePitch="312" w:charSpace="0"/>
        </w:sect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二0二0年十二月</w:t>
      </w:r>
    </w:p>
    <w:p>
      <w:pPr>
        <w:tabs>
          <w:tab w:val="left" w:pos="2728"/>
        </w:tabs>
        <w:rPr>
          <w:rFonts w:ascii="黑体" w:hAnsi="Times New Roman" w:eastAsia="黑体" w:cs="Times New Roman"/>
          <w:sz w:val="48"/>
          <w:szCs w:val="48"/>
        </w:rPr>
      </w:pPr>
    </w:p>
    <w:p>
      <w:pPr>
        <w:tabs>
          <w:tab w:val="left" w:pos="2728"/>
        </w:tabs>
        <w:jc w:val="center"/>
        <w:rPr>
          <w:rFonts w:ascii="黑体" w:hAnsi="Times New Roman" w:eastAsia="黑体" w:cs="Times New Roman"/>
          <w:sz w:val="48"/>
          <w:szCs w:val="48"/>
        </w:rPr>
      </w:pPr>
      <w:r>
        <w:rPr>
          <w:rFonts w:hint="eastAsia" w:ascii="黑体" w:hAnsi="Times New Roman" w:eastAsia="黑体" w:cs="Times New Roman"/>
          <w:sz w:val="48"/>
          <w:szCs w:val="48"/>
        </w:rPr>
        <w:t>目    录</w:t>
      </w:r>
    </w:p>
    <w:p>
      <w:pPr>
        <w:widowControl/>
        <w:spacing w:after="160" w:line="500" w:lineRule="exact"/>
        <w:ind w:firstLine="640" w:firstLineChars="200"/>
        <w:rPr>
          <w:rFonts w:ascii="Times New Roman" w:hAnsi="Times New Roman" w:eastAsia="黑体" w:cs="Times New Roman"/>
          <w:sz w:val="32"/>
          <w:szCs w:val="32"/>
        </w:rPr>
      </w:pPr>
    </w:p>
    <w:p>
      <w:pPr>
        <w:widowControl/>
        <w:spacing w:after="160" w:line="500" w:lineRule="exact"/>
        <w:ind w:firstLine="640" w:firstLineChars="200"/>
        <w:rPr>
          <w:rFonts w:ascii="Times New Roman" w:hAnsi="Times New Roman" w:eastAsia="仿宋_GB2312" w:cs="Times New Roman"/>
          <w:sz w:val="24"/>
          <w:szCs w:val="32"/>
        </w:rPr>
      </w:pPr>
      <w:r>
        <w:rPr>
          <w:rFonts w:ascii="Times New Roman" w:hAnsi="Times New Roman" w:eastAsia="黑体" w:cs="Times New Roman"/>
          <w:sz w:val="32"/>
          <w:szCs w:val="32"/>
        </w:rPr>
        <w:t>第一部分   部门概况</w:t>
      </w:r>
    </w:p>
    <w:p>
      <w:pPr>
        <w:widowControl/>
        <w:spacing w:after="160" w:line="50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一、部门</w:t>
      </w:r>
      <w:r>
        <w:rPr>
          <w:rFonts w:hint="eastAsia" w:ascii="Times New Roman" w:hAnsi="Times New Roman" w:eastAsia="仿宋_GB2312" w:cs="Times New Roman"/>
          <w:sz w:val="32"/>
          <w:szCs w:val="32"/>
        </w:rPr>
        <w:t>职责</w:t>
      </w:r>
    </w:p>
    <w:p>
      <w:pPr>
        <w:widowControl/>
        <w:spacing w:after="160" w:line="50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rPr>
        <w:t>机构设置</w:t>
      </w:r>
    </w:p>
    <w:p>
      <w:pPr>
        <w:widowControl/>
        <w:spacing w:after="160" w:line="5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第二部分   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年部门决算情况说明</w:t>
      </w:r>
    </w:p>
    <w:p>
      <w:pPr>
        <w:widowControl/>
        <w:spacing w:after="160" w:line="50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一、收入支出决算总体情况说明</w:t>
      </w:r>
    </w:p>
    <w:p>
      <w:pPr>
        <w:widowControl/>
        <w:spacing w:after="160" w:line="50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二、收入决算情况说明</w:t>
      </w:r>
    </w:p>
    <w:p>
      <w:pPr>
        <w:widowControl/>
        <w:spacing w:after="160" w:line="50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三、支出决算情况说明</w:t>
      </w:r>
    </w:p>
    <w:p>
      <w:pPr>
        <w:widowControl/>
        <w:spacing w:after="160" w:line="50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四、财政拨款收入支出决算总体情况说明</w:t>
      </w:r>
    </w:p>
    <w:p>
      <w:pPr>
        <w:widowControl/>
        <w:spacing w:after="160" w:line="50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w:t>
      </w:r>
      <w:r>
        <w:rPr>
          <w:rFonts w:ascii="Times New Roman" w:hAnsi="Times New Roman" w:eastAsia="仿宋_GB2312" w:cs="Times New Roman"/>
          <w:sz w:val="32"/>
          <w:szCs w:val="32"/>
        </w:rPr>
        <w:t>“三公”经费支出决算情况说明</w:t>
      </w:r>
    </w:p>
    <w:p>
      <w:pPr>
        <w:widowControl/>
        <w:spacing w:after="160" w:line="50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、其他重要事项的说明</w:t>
      </w:r>
    </w:p>
    <w:p>
      <w:pPr>
        <w:widowControl/>
        <w:spacing w:after="160" w:line="5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第三部分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名词解释</w:t>
      </w:r>
    </w:p>
    <w:p>
      <w:pPr>
        <w:widowControl/>
        <w:spacing w:after="160" w:line="500" w:lineRule="exact"/>
        <w:ind w:firstLine="640" w:firstLineChars="200"/>
        <w:rPr>
          <w:rFonts w:ascii="Times New Roman" w:hAnsi="Times New Roman" w:eastAsia="仿宋_GB2312" w:cs="Times New Roman"/>
          <w:sz w:val="20"/>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四</w:t>
      </w:r>
      <w:r>
        <w:rPr>
          <w:rFonts w:ascii="Times New Roman" w:hAnsi="Times New Roman" w:eastAsia="黑体" w:cs="Times New Roman"/>
          <w:sz w:val="32"/>
          <w:szCs w:val="32"/>
        </w:rPr>
        <w:t>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年度部门决算报表</w:t>
      </w:r>
    </w:p>
    <w:p>
      <w:pPr>
        <w:widowControl/>
        <w:spacing w:after="160" w:line="50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w:t>
      </w:r>
      <w:r>
        <w:rPr>
          <w:rFonts w:ascii="Times New Roman" w:hAnsi="Times New Roman" w:eastAsia="黑体" w:cs="Times New Roman"/>
          <w:sz w:val="32"/>
          <w:szCs w:val="32"/>
        </w:rPr>
        <w:t>五部分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rPr>
        <w:t>预算</w:t>
      </w:r>
      <w:r>
        <w:rPr>
          <w:rFonts w:ascii="Times New Roman" w:hAnsi="Times New Roman" w:eastAsia="黑体" w:cs="Times New Roman"/>
          <w:sz w:val="32"/>
          <w:szCs w:val="32"/>
        </w:rPr>
        <w:t>绩效</w:t>
      </w:r>
      <w:r>
        <w:rPr>
          <w:rFonts w:hint="eastAsia" w:ascii="Times New Roman" w:hAnsi="Times New Roman" w:eastAsia="黑体" w:cs="Times New Roman"/>
          <w:sz w:val="32"/>
          <w:szCs w:val="32"/>
        </w:rPr>
        <w:t>公开</w:t>
      </w:r>
      <w:r>
        <w:rPr>
          <w:rFonts w:ascii="Times New Roman" w:hAnsi="Times New Roman" w:eastAsia="黑体" w:cs="Times New Roman"/>
          <w:sz w:val="32"/>
          <w:szCs w:val="32"/>
        </w:rPr>
        <w:t>内容</w:t>
      </w:r>
    </w:p>
    <w:p>
      <w:pPr>
        <w:pStyle w:val="13"/>
        <w:widowControl/>
        <w:numPr>
          <w:ilvl w:val="0"/>
          <w:numId w:val="1"/>
        </w:numPr>
        <w:spacing w:after="160" w:line="50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绩效情况说明</w:t>
      </w:r>
    </w:p>
    <w:p>
      <w:pPr>
        <w:pStyle w:val="13"/>
        <w:widowControl/>
        <w:numPr>
          <w:ilvl w:val="0"/>
          <w:numId w:val="1"/>
        </w:numPr>
        <w:spacing w:after="160" w:line="50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绩效公开表格</w:t>
      </w:r>
    </w:p>
    <w:p>
      <w:pPr>
        <w:pStyle w:val="13"/>
        <w:widowControl/>
        <w:numPr>
          <w:ilvl w:val="0"/>
          <w:numId w:val="2"/>
        </w:numPr>
        <w:spacing w:after="160" w:line="50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项目</w:t>
      </w:r>
      <w:r>
        <w:rPr>
          <w:rFonts w:ascii="Times New Roman" w:hAnsi="Times New Roman" w:eastAsia="仿宋_GB2312" w:cs="Times New Roman"/>
          <w:sz w:val="32"/>
          <w:szCs w:val="32"/>
        </w:rPr>
        <w:t>绩效自评表</w:t>
      </w:r>
    </w:p>
    <w:p>
      <w:pPr>
        <w:pStyle w:val="13"/>
        <w:widowControl/>
        <w:numPr>
          <w:ilvl w:val="0"/>
          <w:numId w:val="2"/>
        </w:numPr>
        <w:spacing w:after="160" w:line="50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单位</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整体</w:t>
      </w:r>
      <w:r>
        <w:rPr>
          <w:rFonts w:ascii="Times New Roman" w:hAnsi="Times New Roman" w:eastAsia="仿宋_GB2312" w:cs="Times New Roman"/>
          <w:sz w:val="32"/>
          <w:szCs w:val="32"/>
        </w:rPr>
        <w:t>绩效自评表</w:t>
      </w:r>
    </w:p>
    <w:p>
      <w:pPr>
        <w:widowControl/>
        <w:spacing w:after="160" w:line="580" w:lineRule="exact"/>
        <w:rPr>
          <w:rFonts w:ascii="Times New Roman" w:hAnsi="Times New Roman" w:eastAsia="黑体" w:cs="Times New Roman"/>
          <w:sz w:val="32"/>
          <w:szCs w:val="32"/>
        </w:rPr>
        <w:sectPr>
          <w:headerReference r:id="rId8" w:type="first"/>
          <w:footerReference r:id="rId10" w:type="first"/>
          <w:headerReference r:id="rId7" w:type="default"/>
          <w:footerReference r:id="rId9" w:type="default"/>
          <w:type w:val="continuous"/>
          <w:pgSz w:w="11906" w:h="16838"/>
          <w:pgMar w:top="2041" w:right="1531" w:bottom="2041" w:left="1531" w:header="851" w:footer="992" w:gutter="0"/>
          <w:cols w:space="0" w:num="1"/>
          <w:titlePg/>
          <w:docGrid w:type="lines" w:linePitch="312" w:charSpace="0"/>
        </w:sect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ind w:firstLine="6480" w:firstLineChars="900"/>
      </w:pPr>
      <w:r>
        <w:rPr>
          <w:sz w:val="72"/>
        </w:rPr>
        <mc:AlternateContent>
          <mc:Choice Requires="wps">
            <w:drawing>
              <wp:anchor distT="0" distB="0" distL="114300" distR="114300" simplePos="0" relativeHeight="251685888" behindDoc="0" locked="0" layoutInCell="1" allowOverlap="1">
                <wp:simplePos x="0" y="0"/>
                <wp:positionH relativeFrom="column">
                  <wp:posOffset>-1088390</wp:posOffset>
                </wp:positionH>
                <wp:positionV relativeFrom="paragraph">
                  <wp:posOffset>1024890</wp:posOffset>
                </wp:positionV>
                <wp:extent cx="7793355" cy="3341370"/>
                <wp:effectExtent l="6350" t="6350" r="10795" b="24130"/>
                <wp:wrapNone/>
                <wp:docPr id="143" name="文本框 143"/>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ysClr val="window" lastClr="FFFFFF"/>
                          </a:bgClr>
                        </a:pattFill>
                        <a:ln w="12700" cmpd="sng">
                          <a:solidFill>
                            <a:srgbClr val="FFD966"/>
                          </a:solidFill>
                          <a:prstDash val="solid"/>
                        </a:ln>
                        <a:effectLst/>
                      </wps:spPr>
                      <wps:txbx>
                        <w:txbxContent>
                          <w:p>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第一部分  部门概况</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5.7pt;margin-top:80.7pt;height:263.1pt;width:613.65pt;z-index:251685888;v-text-anchor:middle;mso-width-relative:page;mso-height-relative:page;" fillcolor="#FFD966" filled="t" stroked="t" coordsize="21600,21600" o:gfxdata="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">
                <v:fill type="pattern" on="t" color2="#FFFFFF" o:title="5%" focussize="0,0" r:id="rId26"/>
                <v:stroke weight="1pt" color="#FFD966" joinstyle="round"/>
                <v:imagedata o:title=""/>
                <o:lock v:ext="edit" aspectratio="f"/>
                <v:textbox>
                  <w:txbxContent>
                    <w:p>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第一部分  部门概况</w:t>
                      </w:r>
                    </w:p>
                  </w:txbxContent>
                </v:textbox>
              </v:shape>
            </w:pict>
          </mc:Fallback>
        </mc:AlternateContent>
      </w:r>
      <w:r>
        <w:br w:type="page"/>
      </w:r>
    </w:p>
    <w:p>
      <w:pPr>
        <w:ind w:firstLine="640" w:firstLineChars="200"/>
      </w:pPr>
      <w:r>
        <w:rPr>
          <w:rFonts w:hint="eastAsia" w:ascii="黑体" w:eastAsia="黑体" w:cs="黑体"/>
          <w:kern w:val="0"/>
          <w:sz w:val="32"/>
          <w:szCs w:val="32"/>
        </w:rPr>
        <w:t>一、部门职责</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（一）贯彻执行国家有关司法行政工作的法律法规和方针政策，编制全县司法行政工作规划和年度计划并监督实施，指导全县司法行政工作，参与社会综合治理工作。</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（二）负责全县法制宣传，普及法律常识的规划并组织实施；指导全县各乡镇、各行业法制宣传和基层依法治理工作。</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（三）负责指导、监督、管理全县律师工作、公证工作、法律服务工作和法律援助工作，并承担法律援助工作，统一监管社会法律服务机构和法律服务市场秩序。</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（四）负责指导、监督、管理社区矫正工作和全县刑释解教人员的安置帮教工作。</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（五）负责指导、监督、管理全县基层司法所建设和人民调解工作。</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（六）指导、监督、管理全县司法鉴定人和司法鉴定机构工作。</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（七）接受县人大、政府对部门有关地方法规、规章的咨询。</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（八）对局机关和下属单位的经费、国有资产进行监督管理和审计</w:t>
      </w:r>
    </w:p>
    <w:p>
      <w:pPr>
        <w:autoSpaceDE w:val="0"/>
        <w:autoSpaceDN w:val="0"/>
        <w:adjustRightInd w:val="0"/>
        <w:spacing w:line="584" w:lineRule="exact"/>
        <w:ind w:firstLine="640" w:firstLineChars="200"/>
        <w:jc w:val="left"/>
        <w:rPr>
          <w:rFonts w:eastAsia="仿宋_GB2312"/>
          <w:kern w:val="0"/>
          <w:sz w:val="32"/>
          <w:szCs w:val="32"/>
        </w:rPr>
      </w:pPr>
      <w:r>
        <w:rPr>
          <w:rFonts w:hint="eastAsia" w:eastAsia="仿宋_GB2312"/>
          <w:kern w:val="0"/>
          <w:sz w:val="32"/>
          <w:szCs w:val="32"/>
        </w:rPr>
        <w:t>（九）管理指导全县司法行政系统的队伍建设和思想政治工作。</w:t>
      </w:r>
    </w:p>
    <w:p>
      <w:pPr>
        <w:autoSpaceDE w:val="0"/>
        <w:autoSpaceDN w:val="0"/>
        <w:adjustRightInd w:val="0"/>
        <w:spacing w:line="584" w:lineRule="exact"/>
        <w:ind w:firstLine="640" w:firstLineChars="200"/>
        <w:jc w:val="left"/>
        <w:rPr>
          <w:rFonts w:ascii="黑体" w:eastAsia="黑体" w:cs="黑体"/>
          <w:kern w:val="0"/>
          <w:sz w:val="32"/>
          <w:szCs w:val="32"/>
        </w:rPr>
      </w:pPr>
      <w:r>
        <w:rPr>
          <w:rFonts w:hint="eastAsia" w:eastAsia="仿宋_GB2312"/>
          <w:kern w:val="0"/>
          <w:sz w:val="32"/>
          <w:szCs w:val="32"/>
        </w:rPr>
        <w:t>（十）承办县政府和上级交办的其他事项。</w:t>
      </w:r>
    </w:p>
    <w:p>
      <w:pPr>
        <w:autoSpaceDE w:val="0"/>
        <w:autoSpaceDN w:val="0"/>
        <w:adjustRightInd w:val="0"/>
        <w:spacing w:line="584" w:lineRule="exact"/>
        <w:ind w:firstLine="640" w:firstLineChars="200"/>
        <w:jc w:val="left"/>
        <w:rPr>
          <w:rFonts w:ascii="黑体" w:eastAsia="黑体" w:cs="黑体"/>
          <w:kern w:val="0"/>
          <w:sz w:val="32"/>
          <w:szCs w:val="32"/>
        </w:rPr>
      </w:pPr>
      <w:r>
        <w:rPr>
          <w:rFonts w:hint="eastAsia" w:ascii="黑体" w:hAnsi="Calibri" w:eastAsia="黑体" w:cs="黑体"/>
          <w:kern w:val="0"/>
          <w:sz w:val="32"/>
          <w:szCs w:val="32"/>
        </w:rPr>
        <w:t>二、机构设置</w:t>
      </w:r>
    </w:p>
    <w:p>
      <w:pPr>
        <w:autoSpaceDE w:val="0"/>
        <w:autoSpaceDN w:val="0"/>
        <w:adjustRightInd w:val="0"/>
        <w:spacing w:line="584" w:lineRule="exact"/>
        <w:ind w:firstLine="640" w:firstLineChars="200"/>
        <w:jc w:val="left"/>
        <w:rPr>
          <w:rFonts w:ascii="黑体" w:eastAsia="黑体" w:cs="黑体"/>
          <w:kern w:val="0"/>
          <w:sz w:val="32"/>
          <w:szCs w:val="32"/>
        </w:rPr>
      </w:pPr>
      <w:r>
        <w:rPr>
          <w:rFonts w:hint="eastAsia" w:ascii="仿宋_GB2312" w:hAnsi="Calibri" w:eastAsia="仿宋_GB2312" w:cs="ArialUnicodeMS"/>
          <w:kern w:val="0"/>
          <w:sz w:val="32"/>
          <w:szCs w:val="32"/>
        </w:rPr>
        <w:t>从决算编报单位构成看，纳入2019 年度本部门决算汇编范围的独立核算单位（以下简称“单位”）共 1个，具体情况如下：</w:t>
      </w:r>
    </w:p>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265"/>
        <w:gridCol w:w="2265"/>
        <w:gridCol w:w="2265"/>
        <w:gridCol w:w="22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hint="eastAsia" w:ascii="仿宋_GB2312" w:hAnsi="Calibri" w:eastAsia="仿宋_GB2312" w:cs="ArialUnicodeMS"/>
                <w:b/>
                <w:bCs/>
                <w:kern w:val="0"/>
                <w:sz w:val="28"/>
                <w:szCs w:val="28"/>
              </w:rPr>
              <w:t>序号</w:t>
            </w:r>
          </w:p>
        </w:tc>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hint="eastAsia" w:ascii="仿宋_GB2312" w:hAnsi="Calibri" w:eastAsia="仿宋_GB2312" w:cs="ArialUnicodeMS"/>
                <w:b/>
                <w:bCs/>
                <w:kern w:val="0"/>
                <w:sz w:val="28"/>
                <w:szCs w:val="28"/>
              </w:rPr>
              <w:t>单位名称</w:t>
            </w:r>
          </w:p>
        </w:tc>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hint="eastAsia" w:ascii="仿宋_GB2312" w:hAnsi="Calibri" w:eastAsia="仿宋_GB2312" w:cs="ArialUnicodeMS"/>
                <w:b/>
                <w:bCs/>
                <w:kern w:val="0"/>
                <w:sz w:val="28"/>
                <w:szCs w:val="28"/>
              </w:rPr>
              <w:t>单位基本性质</w:t>
            </w:r>
          </w:p>
        </w:tc>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hint="eastAsia" w:ascii="仿宋_GB2312" w:hAnsi="Calibri" w:eastAsia="仿宋_GB2312" w:cs="ArialUnicodeMS"/>
                <w:b/>
                <w:bCs/>
                <w:kern w:val="0"/>
                <w:sz w:val="28"/>
                <w:szCs w:val="28"/>
              </w:rPr>
              <w:t>经费形式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hint="eastAsia" w:ascii="Times New Roman" w:hAnsi="Times New Roman" w:eastAsia="黑体" w:cs="Times New Roman"/>
                <w:sz w:val="32"/>
                <w:szCs w:val="32"/>
              </w:rPr>
              <w:t>1</w:t>
            </w:r>
          </w:p>
        </w:tc>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ascii="仿宋_GB2312" w:eastAsia="仿宋_GB2312" w:cs="ArialUnicodeMS"/>
                <w:kern w:val="0"/>
                <w:sz w:val="28"/>
                <w:szCs w:val="28"/>
              </w:rPr>
              <w:t>永清县司法局</w:t>
            </w:r>
          </w:p>
        </w:tc>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hint="eastAsia" w:ascii="仿宋_GB2312" w:eastAsia="仿宋_GB2312" w:cs="ArialUnicodeMS"/>
                <w:kern w:val="0"/>
                <w:sz w:val="28"/>
                <w:szCs w:val="28"/>
              </w:rPr>
              <w:t>行政单位</w:t>
            </w:r>
          </w:p>
        </w:tc>
        <w:tc>
          <w:tcPr>
            <w:tcW w:w="2265" w:type="dxa"/>
            <w:vAlign w:val="center"/>
          </w:tcPr>
          <w:p>
            <w:pPr>
              <w:widowControl/>
              <w:spacing w:after="160" w:line="580" w:lineRule="exact"/>
              <w:jc w:val="center"/>
              <w:rPr>
                <w:rFonts w:ascii="Times New Roman" w:hAnsi="Times New Roman" w:eastAsia="黑体" w:cs="Times New Roman"/>
                <w:sz w:val="32"/>
                <w:szCs w:val="32"/>
              </w:rPr>
            </w:pPr>
            <w:r>
              <w:rPr>
                <w:rFonts w:hint="eastAsia" w:ascii="仿宋_GB2312" w:eastAsia="仿宋_GB2312" w:cs="ArialUnicodeMS"/>
                <w:kern w:val="0"/>
                <w:sz w:val="28"/>
                <w:szCs w:val="28"/>
              </w:rPr>
              <w:t>财政拨款</w:t>
            </w:r>
          </w:p>
        </w:tc>
      </w:tr>
    </w:tbl>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sectPr>
          <w:footerReference r:id="rId13" w:type="first"/>
          <w:headerReference r:id="rId11" w:type="default"/>
          <w:footerReference r:id="rId12" w:type="default"/>
          <w:pgSz w:w="11906" w:h="16838"/>
          <w:pgMar w:top="2041" w:right="1531" w:bottom="2041" w:left="1531" w:header="851" w:footer="992" w:gutter="0"/>
          <w:pgNumType w:fmt="numberInDash" w:start="1"/>
          <w:cols w:space="0" w:num="1"/>
          <w:titlePg/>
          <w:docGrid w:type="lines" w:linePitch="312" w:charSpace="0"/>
        </w:sectPr>
      </w:pPr>
    </w:p>
    <w:p>
      <w:pPr>
        <w:widowControl/>
        <w:spacing w:after="160" w:line="580" w:lineRule="exact"/>
        <w:ind w:firstLine="640" w:firstLineChars="200"/>
        <w:rPr>
          <w:rFonts w:ascii="Times New Roman" w:hAnsi="Times New Roman" w:eastAsia="黑体" w:cs="Times New Roman"/>
          <w:sz w:val="32"/>
          <w:szCs w:val="32"/>
        </w:rPr>
        <w:sectPr>
          <w:headerReference r:id="rId14" w:type="default"/>
          <w:type w:val="continuous"/>
          <w:pgSz w:w="11906" w:h="16838"/>
          <w:pgMar w:top="2041" w:right="1531" w:bottom="2041" w:left="1531" w:header="851" w:footer="992" w:gutter="0"/>
          <w:pgNumType w:fmt="numberInDash"/>
          <w:cols w:space="0" w:num="1"/>
          <w:titlePg/>
          <w:docGrid w:type="lines" w:linePitch="312" w:charSpace="0"/>
        </w:sectPr>
      </w:pPr>
    </w:p>
    <w:p>
      <w:pPr>
        <w:widowControl/>
        <w:spacing w:after="160" w:line="580" w:lineRule="exact"/>
        <w:ind w:firstLine="1440" w:firstLineChars="200"/>
        <w:rPr>
          <w:rFonts w:ascii="Times New Roman" w:hAnsi="Times New Roman" w:eastAsia="黑体" w:cs="Times New Roman"/>
          <w:sz w:val="32"/>
          <w:szCs w:val="32"/>
        </w:rPr>
        <w:sectPr>
          <w:pgSz w:w="11906" w:h="16838"/>
          <w:pgMar w:top="2041" w:right="1531" w:bottom="2041" w:left="1531" w:header="851" w:footer="992" w:gutter="0"/>
          <w:pgNumType w:fmt="numberInDash"/>
          <w:cols w:space="0" w:num="1"/>
          <w:titlePg/>
          <w:docGrid w:type="lines" w:linePitch="312" w:charSpace="0"/>
        </w:sectPr>
      </w:pPr>
      <w:r>
        <w:rPr>
          <w:sz w:val="72"/>
        </w:rPr>
        <mc:AlternateContent>
          <mc:Choice Requires="wps">
            <w:drawing>
              <wp:anchor distT="0" distB="0" distL="114300" distR="114300" simplePos="0" relativeHeight="251671552" behindDoc="0" locked="0" layoutInCell="1" allowOverlap="1">
                <wp:simplePos x="0" y="0"/>
                <wp:positionH relativeFrom="column">
                  <wp:posOffset>-1088390</wp:posOffset>
                </wp:positionH>
                <wp:positionV relativeFrom="paragraph">
                  <wp:posOffset>3024505</wp:posOffset>
                </wp:positionV>
                <wp:extent cx="7793355" cy="2200275"/>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7793355" cy="22002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 </w:t>
                            </w:r>
                          </w:p>
                          <w:p>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5.7pt;margin-top:238.15pt;height:173.25pt;width:613.65pt;z-index:251671552;mso-width-relative:page;mso-height-relative:page;" filled="f" stroked="f" coordsize="21600,21600" o:gfxdata="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Kuuj5PeAAAADQEAAA8AAAAAAAAAAQAgAAAA&#10;IgAAAGRycy9kb3ducmV2LnhtbFBLAQIUABQAAAAIAIdO4kBdpNn+PgIAAGsEAAAOAAAAAAAAAAEA&#10;IAAAAC0BAABkcnMvZTJvRG9jLnhtbFBLBQYAAAAABgAGAFkBAADdBQAAAAA=&#10;">
                <v:fill on="f" focussize="0,0"/>
                <v:stroke on="f" weight="0.5pt"/>
                <v:imagedata o:title=""/>
                <o:lock v:ext="edit" aspectratio="f"/>
                <v:textbox>
                  <w:txbxContent>
                    <w:p>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 </w:t>
                      </w:r>
                    </w:p>
                    <w:p>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p>
                  </w:txbxContent>
                </v:textbox>
              </v:shape>
            </w:pict>
          </mc:Fallback>
        </mc:AlternateContent>
      </w:r>
    </w:p>
    <w:p>
      <w:pPr>
        <w:widowControl/>
        <w:spacing w:line="580" w:lineRule="exact"/>
        <w:ind w:firstLine="640" w:firstLineChars="200"/>
        <w:rPr>
          <w:rFonts w:eastAsia="黑体"/>
          <w:sz w:val="32"/>
          <w:szCs w:val="3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r>
        <w:rPr>
          <w:sz w:val="72"/>
        </w:rPr>
        <mc:AlternateContent>
          <mc:Choice Requires="wps">
            <w:drawing>
              <wp:anchor distT="0" distB="0" distL="114300" distR="114300" simplePos="0" relativeHeight="251681792" behindDoc="0" locked="0" layoutInCell="1" allowOverlap="1">
                <wp:simplePos x="0" y="0"/>
                <wp:positionH relativeFrom="column">
                  <wp:posOffset>-1153160</wp:posOffset>
                </wp:positionH>
                <wp:positionV relativeFrom="paragraph">
                  <wp:posOffset>55245</wp:posOffset>
                </wp:positionV>
                <wp:extent cx="7793355" cy="3341370"/>
                <wp:effectExtent l="4445" t="4445" r="12700" b="6985"/>
                <wp:wrapNone/>
                <wp:docPr id="187" name="文本框 187"/>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第二部分 </w:t>
                            </w:r>
                          </w:p>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2019年部门决算情况说明</w:t>
                            </w:r>
                          </w:p>
                          <w:p>
                            <w:pPr>
                              <w:rPr>
                                <w14:textOutline w14:w="9525" w14:cap="flat" w14:cmpd="sng" w14:algn="ctr">
                                  <w14:solidFill>
                                    <w14:schemeClr w14:val="tx1">
                                      <w14:lumMod w14:val="50000"/>
                                      <w14:lumOff w14:val="50000"/>
                                    </w14:schemeClr>
                                  </w14:solid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90.8pt;margin-top:4.35pt;height:263.1pt;width:613.65pt;z-index:251681792;v-text-anchor:middle;mso-width-relative:page;mso-height-relative:page;" fillcolor="#FFD966" filled="t" stroked="t" coordsize="21600,21600" o:gfxdata="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P1B8+LaAAAACwEAAA8AAAAAAAAAAQAgAAAAIgAA&#10;AGRycy9kb3ducmV2LnhtbFBLAQIUABQAAAAIAIdO4kAd7gKxeAIAAAgFAAAOAAAAAAAAAAEAIAAA&#10;ACkBAABkcnMvZTJvRG9jLnhtbFBLBQYAAAAABgAGAFkBAAATBgAAAAA=&#10;">
                <v:fill type="pattern" on="t" color2="#FFFFFF [3212]" o:title="5%" focussize="0,0" r:id="rId26"/>
                <v:stroke weight="0.5pt" color="#FFD966 [3204]" joinstyle="round"/>
                <v:imagedata o:title=""/>
                <o:lock v:ext="edit" aspectratio="f"/>
                <v:textbox>
                  <w:txbxContent>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第二部分 </w:t>
                      </w:r>
                    </w:p>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2019年部门决算情况说明</w:t>
                      </w:r>
                    </w:p>
                    <w:p>
                      <w:pPr>
                        <w:rPr>
                          <w14:textOutline w14:w="9525" w14:cap="flat" w14:cmpd="sng" w14:algn="ctr">
                            <w14:solidFill>
                              <w14:schemeClr w14:val="tx1">
                                <w14:lumMod w14:val="50000"/>
                                <w14:lumOff w14:val="50000"/>
                              </w14:schemeClr>
                            </w14:solidFill>
                            <w14:prstDash w14:val="solid"/>
                            <w14:round/>
                          </w14:textOutline>
                        </w:rPr>
                      </w:pPr>
                    </w:p>
                  </w:txbxContent>
                </v:textbox>
              </v:shape>
            </w:pict>
          </mc:Fallback>
        </mc:AlternateContent>
      </w: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一、收入</w:t>
      </w:r>
      <w:r>
        <w:rPr>
          <w:rFonts w:hint="eastAsia" w:ascii="黑体" w:hAnsi="Cambria" w:eastAsia="黑体" w:cs="黑体"/>
          <w:kern w:val="0"/>
          <w:sz w:val="32"/>
          <w:szCs w:val="32"/>
        </w:rPr>
        <w:t>支出</w:t>
      </w:r>
      <w:r>
        <w:rPr>
          <w:rFonts w:hint="eastAsia" w:ascii="黑体" w:hAnsi="Calibri" w:eastAsia="黑体" w:cs="Times New Roman"/>
          <w:sz w:val="32"/>
          <w:szCs w:val="32"/>
        </w:rPr>
        <w:t>决算总体情况说明</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w:t>
      </w:r>
      <w:r>
        <w:rPr>
          <w:rFonts w:ascii="仿宋_GB2312" w:eastAsia="仿宋_GB2312" w:cs="DengXian-Regular"/>
          <w:sz w:val="32"/>
          <w:szCs w:val="32"/>
        </w:rPr>
        <w:t>年初</w:t>
      </w:r>
      <w:r>
        <w:rPr>
          <w:rFonts w:hint="eastAsia" w:ascii="仿宋_GB2312" w:eastAsia="仿宋_GB2312" w:cs="DengXian-Regular"/>
          <w:sz w:val="32"/>
          <w:szCs w:val="32"/>
        </w:rPr>
        <w:t>结转和结余86.19万元</w:t>
      </w:r>
      <w:r>
        <w:rPr>
          <w:rFonts w:ascii="仿宋_GB2312" w:eastAsia="仿宋_GB2312" w:cs="DengXian-Regular"/>
          <w:sz w:val="32"/>
          <w:szCs w:val="32"/>
        </w:rPr>
        <w:t>，本年收入1</w:t>
      </w:r>
      <w:r>
        <w:rPr>
          <w:rFonts w:hint="eastAsia" w:ascii="仿宋_GB2312" w:eastAsia="仿宋_GB2312" w:cs="DengXian-Regular"/>
          <w:sz w:val="32"/>
          <w:szCs w:val="32"/>
        </w:rPr>
        <w:t>554.09</w:t>
      </w:r>
      <w:r>
        <w:rPr>
          <w:rFonts w:ascii="仿宋_GB2312" w:eastAsia="仿宋_GB2312" w:cs="DengXian-Regular"/>
          <w:sz w:val="32"/>
          <w:szCs w:val="32"/>
        </w:rPr>
        <w:t>万元；本年支出1</w:t>
      </w:r>
      <w:r>
        <w:rPr>
          <w:rFonts w:hint="eastAsia" w:ascii="仿宋_GB2312" w:eastAsia="仿宋_GB2312" w:cs="DengXian-Regular"/>
          <w:sz w:val="32"/>
          <w:szCs w:val="32"/>
        </w:rPr>
        <w:t>547.86</w:t>
      </w:r>
      <w:r>
        <w:rPr>
          <w:rFonts w:ascii="仿宋_GB2312" w:eastAsia="仿宋_GB2312" w:cs="DengXian-Regular"/>
          <w:sz w:val="32"/>
          <w:szCs w:val="32"/>
        </w:rPr>
        <w:t>万元，年末结转和结余</w:t>
      </w:r>
      <w:r>
        <w:rPr>
          <w:rFonts w:hint="eastAsia" w:ascii="仿宋_GB2312" w:eastAsia="仿宋_GB2312" w:cs="DengXian-Regular"/>
          <w:sz w:val="32"/>
          <w:szCs w:val="32"/>
        </w:rPr>
        <w:t>92.19</w:t>
      </w:r>
      <w:r>
        <w:rPr>
          <w:rFonts w:ascii="仿宋_GB2312" w:eastAsia="仿宋_GB2312" w:cs="DengXian-Regular"/>
          <w:sz w:val="32"/>
          <w:szCs w:val="32"/>
        </w:rPr>
        <w:t>万元</w:t>
      </w:r>
      <w:r>
        <w:rPr>
          <w:rFonts w:hint="eastAsia" w:ascii="仿宋_GB2312" w:eastAsia="仿宋_GB2312" w:cs="DengXian-Regular"/>
          <w:sz w:val="32"/>
          <w:szCs w:val="32"/>
        </w:rPr>
        <w:t>。与2018年度决算相比，</w:t>
      </w:r>
      <w:r>
        <w:rPr>
          <w:rFonts w:ascii="仿宋_GB2312" w:eastAsia="仿宋_GB2312" w:cs="DengXian-Regular"/>
          <w:sz w:val="32"/>
          <w:szCs w:val="32"/>
        </w:rPr>
        <w:t>本年收入增加</w:t>
      </w:r>
      <w:r>
        <w:rPr>
          <w:rFonts w:hint="eastAsia" w:ascii="仿宋_GB2312" w:eastAsia="仿宋_GB2312" w:cs="DengXian-Regular"/>
          <w:sz w:val="32"/>
          <w:szCs w:val="32"/>
        </w:rPr>
        <w:t>54.77</w:t>
      </w:r>
      <w:r>
        <w:rPr>
          <w:rFonts w:ascii="仿宋_GB2312" w:eastAsia="仿宋_GB2312" w:cs="DengXian-Regular"/>
          <w:sz w:val="32"/>
          <w:szCs w:val="32"/>
        </w:rPr>
        <w:t>万元，增长</w:t>
      </w:r>
      <w:r>
        <w:rPr>
          <w:rFonts w:hint="eastAsia" w:ascii="仿宋_GB2312" w:eastAsia="仿宋_GB2312" w:cs="DengXian-Regular"/>
          <w:sz w:val="32"/>
          <w:szCs w:val="32"/>
        </w:rPr>
        <w:t>3.7</w:t>
      </w:r>
      <w:r>
        <w:rPr>
          <w:rFonts w:ascii="仿宋_GB2312" w:eastAsia="仿宋_GB2312" w:cs="DengXian-Regular"/>
          <w:sz w:val="32"/>
          <w:szCs w:val="32"/>
        </w:rPr>
        <w:t>%，主要是人员标准提标了；本年支出</w:t>
      </w:r>
      <w:r>
        <w:rPr>
          <w:rFonts w:hint="eastAsia" w:ascii="仿宋_GB2312" w:eastAsia="仿宋_GB2312" w:cs="DengXian-Regular"/>
          <w:sz w:val="32"/>
          <w:szCs w:val="32"/>
        </w:rPr>
        <w:t>增加了84.09</w:t>
      </w:r>
      <w:r>
        <w:rPr>
          <w:rFonts w:ascii="仿宋_GB2312" w:eastAsia="仿宋_GB2312" w:cs="DengXian-Regular"/>
          <w:sz w:val="32"/>
          <w:szCs w:val="32"/>
        </w:rPr>
        <w:t>万元，</w:t>
      </w:r>
      <w:r>
        <w:rPr>
          <w:rFonts w:hint="eastAsia" w:ascii="仿宋_GB2312" w:eastAsia="仿宋_GB2312" w:cs="DengXian-Regular"/>
          <w:sz w:val="32"/>
          <w:szCs w:val="32"/>
        </w:rPr>
        <w:t>增长</w:t>
      </w:r>
      <w:r>
        <w:rPr>
          <w:rFonts w:ascii="仿宋_GB2312" w:eastAsia="仿宋_GB2312" w:cs="DengXian-Regular"/>
          <w:sz w:val="32"/>
          <w:szCs w:val="32"/>
        </w:rPr>
        <w:t>5.</w:t>
      </w:r>
      <w:r>
        <w:rPr>
          <w:rFonts w:hint="eastAsia" w:ascii="仿宋_GB2312" w:eastAsia="仿宋_GB2312" w:cs="DengXian-Regular"/>
          <w:sz w:val="32"/>
          <w:szCs w:val="32"/>
        </w:rPr>
        <w:t>7</w:t>
      </w:r>
      <w:r>
        <w:rPr>
          <w:rFonts w:ascii="仿宋_GB2312" w:eastAsia="仿宋_GB2312" w:cs="DengXian-Regular"/>
          <w:sz w:val="32"/>
          <w:szCs w:val="32"/>
        </w:rPr>
        <w:t>%，主要是人员标准提标了。</w:t>
      </w:r>
    </w:p>
    <w:p>
      <w:pPr>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二、收入决算情况说明</w:t>
      </w:r>
    </w:p>
    <w:p>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本部门2019年度本年收入合计</w:t>
      </w:r>
      <w:r>
        <w:rPr>
          <w:rFonts w:ascii="仿宋_GB2312" w:eastAsia="仿宋_GB2312" w:cs="DengXian-Regular"/>
          <w:sz w:val="32"/>
          <w:szCs w:val="32"/>
        </w:rPr>
        <w:t>1</w:t>
      </w:r>
      <w:r>
        <w:rPr>
          <w:rFonts w:hint="eastAsia" w:ascii="仿宋_GB2312" w:eastAsia="仿宋_GB2312" w:cs="DengXian-Regular"/>
          <w:sz w:val="32"/>
          <w:szCs w:val="32"/>
        </w:rPr>
        <w:t>554.09万元，其中：财政拨款收入</w:t>
      </w:r>
      <w:r>
        <w:rPr>
          <w:rFonts w:ascii="仿宋_GB2312" w:eastAsia="仿宋_GB2312" w:cs="DengXian-Regular"/>
          <w:sz w:val="32"/>
          <w:szCs w:val="32"/>
        </w:rPr>
        <w:t>1</w:t>
      </w:r>
      <w:r>
        <w:rPr>
          <w:rFonts w:hint="eastAsia" w:ascii="仿宋_GB2312" w:eastAsia="仿宋_GB2312" w:cs="DengXian-Regular"/>
          <w:sz w:val="32"/>
          <w:szCs w:val="32"/>
        </w:rPr>
        <w:t>554.09万元，占</w:t>
      </w:r>
      <w:r>
        <w:rPr>
          <w:rFonts w:ascii="仿宋_GB2312" w:eastAsia="仿宋_GB2312" w:cs="DengXian-Regular"/>
          <w:sz w:val="32"/>
          <w:szCs w:val="32"/>
        </w:rPr>
        <w:t>100</w:t>
      </w:r>
      <w:r>
        <w:rPr>
          <w:rFonts w:hint="eastAsia" w:ascii="仿宋_GB2312" w:eastAsia="仿宋_GB2312" w:cs="DengXian-Regular"/>
          <w:sz w:val="32"/>
          <w:szCs w:val="32"/>
        </w:rPr>
        <w:t>%；事业收入</w:t>
      </w:r>
      <w:r>
        <w:rPr>
          <w:rFonts w:ascii="仿宋_GB2312" w:eastAsia="仿宋_GB2312" w:cs="DengXian-Regular"/>
          <w:sz w:val="32"/>
          <w:szCs w:val="32"/>
        </w:rPr>
        <w:t>0</w:t>
      </w:r>
      <w:r>
        <w:rPr>
          <w:rFonts w:hint="eastAsia" w:ascii="仿宋_GB2312" w:eastAsia="仿宋_GB2312" w:cs="DengXian-Regular"/>
          <w:sz w:val="32"/>
          <w:szCs w:val="32"/>
        </w:rPr>
        <w:t>万元，占</w:t>
      </w:r>
      <w:r>
        <w:rPr>
          <w:rFonts w:ascii="仿宋_GB2312" w:eastAsia="仿宋_GB2312" w:cs="DengXian-Regular"/>
          <w:sz w:val="32"/>
          <w:szCs w:val="32"/>
        </w:rPr>
        <w:t>0</w:t>
      </w:r>
      <w:r>
        <w:rPr>
          <w:rFonts w:hint="eastAsia" w:ascii="仿宋_GB2312" w:eastAsia="仿宋_GB2312" w:cs="DengXian-Regular"/>
          <w:sz w:val="32"/>
          <w:szCs w:val="32"/>
        </w:rPr>
        <w:t>%；经营收入</w:t>
      </w:r>
      <w:r>
        <w:rPr>
          <w:rFonts w:ascii="仿宋_GB2312" w:eastAsia="仿宋_GB2312" w:cs="DengXian-Regular"/>
          <w:sz w:val="32"/>
          <w:szCs w:val="32"/>
        </w:rPr>
        <w:t>0</w:t>
      </w:r>
      <w:r>
        <w:rPr>
          <w:rFonts w:hint="eastAsia" w:ascii="仿宋_GB2312" w:eastAsia="仿宋_GB2312" w:cs="DengXian-Regular"/>
          <w:sz w:val="32"/>
          <w:szCs w:val="32"/>
        </w:rPr>
        <w:t>万元，占</w:t>
      </w:r>
      <w:r>
        <w:rPr>
          <w:rFonts w:ascii="仿宋_GB2312" w:eastAsia="仿宋_GB2312" w:cs="DengXian-Regular"/>
          <w:sz w:val="32"/>
          <w:szCs w:val="32"/>
        </w:rPr>
        <w:t>0</w:t>
      </w:r>
      <w:r>
        <w:rPr>
          <w:rFonts w:hint="eastAsia" w:ascii="仿宋_GB2312" w:eastAsia="仿宋_GB2312" w:cs="DengXian-Regular"/>
          <w:sz w:val="32"/>
          <w:szCs w:val="32"/>
        </w:rPr>
        <w:t>%；其他收入</w:t>
      </w:r>
      <w:r>
        <w:rPr>
          <w:rFonts w:ascii="仿宋_GB2312" w:eastAsia="仿宋_GB2312" w:cs="DengXian-Regular"/>
          <w:sz w:val="32"/>
          <w:szCs w:val="32"/>
        </w:rPr>
        <w:t>0</w:t>
      </w:r>
      <w:r>
        <w:rPr>
          <w:rFonts w:hint="eastAsia" w:ascii="仿宋_GB2312" w:eastAsia="仿宋_GB2312" w:cs="DengXian-Regular"/>
          <w:sz w:val="32"/>
          <w:szCs w:val="32"/>
        </w:rPr>
        <w:t>万元，占</w:t>
      </w:r>
      <w:r>
        <w:rPr>
          <w:rFonts w:ascii="仿宋_GB2312" w:eastAsia="仿宋_GB2312" w:cs="DengXian-Regular"/>
          <w:sz w:val="32"/>
          <w:szCs w:val="32"/>
        </w:rPr>
        <w:t>0</w:t>
      </w:r>
      <w:r>
        <w:rPr>
          <w:rFonts w:hint="eastAsia" w:ascii="仿宋_GB2312" w:eastAsia="仿宋_GB2312" w:cs="DengXian-Regular"/>
          <w:sz w:val="32"/>
          <w:szCs w:val="32"/>
        </w:rPr>
        <w:t>%。</w:t>
      </w:r>
    </w:p>
    <w:p>
      <w:pPr>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三、支出决算情况说明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本部门2019年度本年支出合计1547.86万元，其中：基本支出1360.8万元，占87.91%；项目支出187.06万元，占12%；经营支出0万元，占0%。</w:t>
      </w:r>
    </w:p>
    <w:p>
      <w:pPr>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四、</w:t>
      </w:r>
      <w:r>
        <w:rPr>
          <w:rFonts w:hint="eastAsia" w:ascii="黑体" w:hAnsi="Cambria" w:eastAsia="黑体" w:cs="黑体"/>
          <w:kern w:val="0"/>
          <w:sz w:val="32"/>
          <w:szCs w:val="32"/>
        </w:rPr>
        <w:t>财政</w:t>
      </w:r>
      <w:r>
        <w:rPr>
          <w:rFonts w:hint="eastAsia" w:ascii="黑体" w:hAnsi="Calibri" w:eastAsia="黑体" w:cs="Times New Roman"/>
          <w:sz w:val="32"/>
          <w:szCs w:val="32"/>
        </w:rPr>
        <w:t>拨款收入支出决算总体情况说明</w:t>
      </w:r>
    </w:p>
    <w:p>
      <w:pPr>
        <w:snapToGrid w:val="0"/>
        <w:spacing w:line="580" w:lineRule="exact"/>
        <w:ind w:firstLine="643" w:firstLine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（一）财政拨款收支与2018 年度决算对比情况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本部门2019年度形成的财政拨款收支均为一般公共预算财政拨款，其中本年收入1554.09万元,比2018年度增加54.77万元，增长3.7%，主要是</w:t>
      </w:r>
      <w:r>
        <w:rPr>
          <w:rFonts w:ascii="仿宋_GB2312" w:eastAsia="仿宋_GB2312" w:cs="DengXian-Regular"/>
          <w:sz w:val="32"/>
          <w:szCs w:val="32"/>
        </w:rPr>
        <w:t>人员标准提标</w:t>
      </w:r>
      <w:r>
        <w:rPr>
          <w:rFonts w:hint="eastAsia" w:ascii="仿宋_GB2312" w:eastAsia="仿宋_GB2312" w:cs="DengXian-Regular"/>
          <w:sz w:val="32"/>
          <w:szCs w:val="32"/>
        </w:rPr>
        <w:t>了</w:t>
      </w:r>
      <w:r>
        <w:rPr>
          <w:rFonts w:hint="eastAsia" w:ascii="仿宋_GB2312" w:hAnsi="Times New Roman" w:eastAsia="仿宋_GB2312" w:cs="DengXian-Regular"/>
          <w:sz w:val="32"/>
          <w:szCs w:val="32"/>
        </w:rPr>
        <w:t>；本年支出1547.86万元，增加84.09万元，增长5.7%，主要是</w:t>
      </w:r>
      <w:r>
        <w:rPr>
          <w:rFonts w:ascii="仿宋_GB2312" w:eastAsia="仿宋_GB2312" w:cs="DengXian-Regular"/>
          <w:sz w:val="32"/>
          <w:szCs w:val="32"/>
        </w:rPr>
        <w:t>人员标准提标</w:t>
      </w:r>
      <w:r>
        <w:rPr>
          <w:rFonts w:hint="eastAsia" w:ascii="仿宋_GB2312" w:eastAsia="仿宋_GB2312" w:cs="DengXian-Regular"/>
          <w:sz w:val="32"/>
          <w:szCs w:val="32"/>
        </w:rPr>
        <w:t>了</w:t>
      </w:r>
      <w:r>
        <w:rPr>
          <w:rFonts w:hint="eastAsia" w:ascii="仿宋_GB2312" w:hAnsi="Times New Roman" w:eastAsia="仿宋_GB2312" w:cs="DengXian-Regular"/>
          <w:sz w:val="32"/>
          <w:szCs w:val="32"/>
        </w:rPr>
        <w:t>。</w:t>
      </w:r>
    </w:p>
    <w:p>
      <w:pPr>
        <w:adjustRightInd w:val="0"/>
        <w:snapToGrid w:val="0"/>
        <w:spacing w:line="580" w:lineRule="exact"/>
        <w:ind w:firstLine="640" w:firstLineChars="200"/>
        <w:rPr>
          <w:rFonts w:ascii="仿宋_GB2312" w:hAnsi="Times New Roman" w:eastAsia="仿宋_GB2312" w:cs="DengXian-Regular"/>
          <w:sz w:val="32"/>
          <w:szCs w:val="32"/>
          <w:highlight w:val="yellow"/>
        </w:rPr>
      </w:pPr>
    </w:p>
    <w:p>
      <w:pPr>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（二）财政拨款收支与年初预算数对比情况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本部门2019年度一般公共预算财政拨款收入1554.09万元，完成年初预算的100.2%,比年初预算增加3.22万元，决算数大于预算数主要原因是</w:t>
      </w:r>
      <w:r>
        <w:rPr>
          <w:rFonts w:ascii="仿宋_GB2312" w:eastAsia="仿宋_GB2312" w:cs="DengXian-Regular"/>
          <w:sz w:val="32"/>
          <w:szCs w:val="32"/>
        </w:rPr>
        <w:t>人员标准提标了</w:t>
      </w:r>
      <w:r>
        <w:rPr>
          <w:rFonts w:hint="eastAsia" w:ascii="仿宋_GB2312" w:eastAsia="仿宋_GB2312" w:cs="DengXian-Regular"/>
          <w:sz w:val="32"/>
          <w:szCs w:val="32"/>
        </w:rPr>
        <w:t>；</w:t>
      </w:r>
      <w:r>
        <w:rPr>
          <w:rFonts w:hint="eastAsia" w:ascii="仿宋_GB2312" w:hAnsi="Times New Roman" w:eastAsia="仿宋_GB2312" w:cs="DengXian-Regular"/>
          <w:sz w:val="32"/>
          <w:szCs w:val="32"/>
        </w:rPr>
        <w:t>本年支出1547.86万元，完成年初预算的108%,比年初预算增加119.21万元，决算数大于（小于）预算数主要原因是主要是</w:t>
      </w:r>
      <w:r>
        <w:rPr>
          <w:rFonts w:ascii="仿宋_GB2312" w:eastAsia="仿宋_GB2312" w:cs="DengXian-Regular"/>
          <w:sz w:val="32"/>
          <w:szCs w:val="32"/>
        </w:rPr>
        <w:t>人员经费支出</w:t>
      </w:r>
      <w:r>
        <w:rPr>
          <w:rFonts w:hint="eastAsia" w:ascii="仿宋_GB2312" w:hAnsi="Times New Roman" w:eastAsia="仿宋_GB2312" w:cs="DengXian-Regular"/>
          <w:sz w:val="32"/>
          <w:szCs w:val="32"/>
        </w:rPr>
        <w:t>。</w:t>
      </w:r>
    </w:p>
    <w:p>
      <w:pPr>
        <w:numPr>
          <w:ilvl w:val="0"/>
          <w:numId w:val="3"/>
        </w:numPr>
        <w:adjustRightInd w:val="0"/>
        <w:snapToGrid w:val="0"/>
        <w:spacing w:line="580" w:lineRule="exact"/>
        <w:ind w:left="420" w:left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财政拨款支出决算结构情况。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2019 年度财政拨款支出1547.86万元，主要用于以下方面行政运行支出1309.96万元，占84%；一般行政管理事务支出36.06万元，占2.3%;社区矫正业务费支出50.52万元，占3.26%；法制建设支出46.54万元，占3%；住房保障（类）支出50.84万元，占 3.28%。</w:t>
      </w:r>
    </w:p>
    <w:p>
      <w:pPr>
        <w:adjustRightInd w:val="0"/>
        <w:snapToGrid w:val="0"/>
        <w:spacing w:line="580" w:lineRule="exact"/>
        <w:ind w:left="420" w:leftChars="200"/>
        <w:rPr>
          <w:rFonts w:ascii="楷体_GB2312" w:hAnsi="Times New Roman" w:eastAsia="楷体_GB2312" w:cs="DengXian-Bold"/>
          <w:b/>
          <w:bCs/>
          <w:sz w:val="32"/>
          <w:szCs w:val="32"/>
        </w:rPr>
      </w:pPr>
    </w:p>
    <w:p>
      <w:pPr>
        <w:adjustRightInd w:val="0"/>
        <w:snapToGrid w:val="0"/>
        <w:spacing w:line="580" w:lineRule="exact"/>
        <w:ind w:left="420" w:left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（四）一般公共预算基本支出决算情况说明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2019 年度财政拨款基本支出1360.8万元，其中：人员经费 1218.08万元，主要包括基本工资、津贴补贴、奖金、伙食补助费、绩效工资、机关事业单位基本养老保险缴费、职业年金缴费、职工基本医疗保险缴费、公务员医疗补助缴费、住房公积金、医疗费、其他社会保障缴费、其他工资福利支出、离休费、退休费、抚恤金、生活补助、医疗费补助、奖励金、其他对个人和家庭的补助支出；公用经费 279.72万元，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公务用车购置、其他资本性支出。</w:t>
      </w:r>
    </w:p>
    <w:p>
      <w:pPr>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五、一般公共预算“三公” 经费支出决算情况说明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本部门2019年度“三公”经费支出共计5.51万元，完成预算的98%,较预算减少0.11万元，降低2%，主要是厉行节约；较2018年度减少18.43万元，降低334%，</w:t>
      </w:r>
      <w:r>
        <w:rPr>
          <w:rFonts w:hint="eastAsia" w:ascii="仿宋_GB2312" w:hAnsi="Times New Roman" w:eastAsia="仿宋_GB2312" w:cs="DengXian-Regular"/>
          <w:sz w:val="32"/>
          <w:szCs w:val="32"/>
          <w:lang w:eastAsia="zh-CN"/>
        </w:rPr>
        <w:t>主要是</w:t>
      </w:r>
      <w:r>
        <w:rPr>
          <w:rFonts w:hint="eastAsia" w:ascii="仿宋_GB2312" w:eastAsia="仿宋_GB2312" w:cs="DengXian-Regular"/>
          <w:sz w:val="32"/>
          <w:szCs w:val="32"/>
        </w:rPr>
        <w:t>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精神和厉行节约要求，从严控制“三公”经费开支，全年实际支出比预算有所节约</w:t>
      </w:r>
      <w:r>
        <w:rPr>
          <w:rFonts w:ascii="仿宋_GB2312" w:eastAsia="仿宋_GB2312" w:cs="DengXian-Regular"/>
          <w:sz w:val="32"/>
          <w:szCs w:val="32"/>
        </w:rPr>
        <w:t>。</w:t>
      </w:r>
      <w:r>
        <w:rPr>
          <w:rFonts w:hint="eastAsia" w:ascii="仿宋_GB2312" w:eastAsia="仿宋_GB2312" w:cs="DengXian-Regular"/>
          <w:sz w:val="32"/>
          <w:szCs w:val="32"/>
        </w:rPr>
        <w:t>具体情况如下：</w:t>
      </w:r>
    </w:p>
    <w:p>
      <w:pPr>
        <w:adjustRightInd w:val="0"/>
        <w:snapToGrid w:val="0"/>
        <w:spacing w:line="580" w:lineRule="exact"/>
        <w:ind w:firstLine="643" w:firstLineChars="200"/>
        <w:rPr>
          <w:rFonts w:ascii="仿宋_GB2312" w:eastAsia="仿宋_GB2312" w:cs="DengXian-Regular"/>
          <w:sz w:val="32"/>
          <w:szCs w:val="32"/>
        </w:rPr>
      </w:pPr>
      <w:r>
        <w:rPr>
          <w:rFonts w:hint="eastAsia" w:ascii="楷体_GB2312" w:hAnsi="Times New Roman" w:eastAsia="楷体_GB2312" w:cs="DengXian-Bold"/>
          <w:b/>
          <w:bCs/>
          <w:sz w:val="32"/>
          <w:szCs w:val="32"/>
        </w:rPr>
        <w:t>（一）因公出国（境）费支出0万元。</w:t>
      </w:r>
      <w:r>
        <w:rPr>
          <w:rFonts w:hint="eastAsia" w:ascii="仿宋_GB2312" w:hAnsi="Times New Roman" w:eastAsia="仿宋_GB2312" w:cs="DengXian-Regular"/>
          <w:sz w:val="32"/>
          <w:szCs w:val="32"/>
        </w:rPr>
        <w:t>本部门2019年度因公出国（境）团组0个、共0人/参加其他单位组织的因公出国（境）团组0个、共0人/无本单位组织的出国（境）团组。因公出国（境）费支出与年初预算持平，与上年支出持平，</w:t>
      </w:r>
      <w:r>
        <w:rPr>
          <w:rFonts w:hint="eastAsia" w:ascii="仿宋_GB2312" w:eastAsia="仿宋_GB2312" w:cs="DengXian-Regular"/>
          <w:sz w:val="32"/>
          <w:szCs w:val="32"/>
        </w:rPr>
        <w:t>主要是认真贯彻落实中央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w:t>
      </w:r>
    </w:p>
    <w:p>
      <w:pPr>
        <w:adjustRightInd w:val="0"/>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（二）公务用车购置及运行维护费支出5.25万元。</w:t>
      </w:r>
      <w:r>
        <w:rPr>
          <w:rFonts w:hint="eastAsia" w:ascii="仿宋_GB2312" w:hAnsi="Times New Roman" w:eastAsia="仿宋_GB2312" w:cs="DengXian-Regular"/>
          <w:sz w:val="32"/>
          <w:szCs w:val="32"/>
        </w:rPr>
        <w:t>本部门2019年度公务用车购置及运行维护费较预算持平,主要是</w:t>
      </w:r>
      <w:r>
        <w:rPr>
          <w:rFonts w:hint="eastAsia" w:ascii="仿宋_GB2312" w:eastAsia="仿宋_GB2312" w:cs="DengXian-Regular"/>
          <w:sz w:val="32"/>
          <w:szCs w:val="32"/>
        </w:rPr>
        <w:t>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w:t>
      </w:r>
    </w:p>
    <w:p>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仿宋_GB2312" w:hAnsi="Times New Roman" w:eastAsia="仿宋_GB2312" w:cs="DengXian-Regular"/>
          <w:b/>
          <w:sz w:val="32"/>
          <w:szCs w:val="32"/>
        </w:rPr>
        <w:t>公务用车购置费：</w:t>
      </w:r>
      <w:r>
        <w:rPr>
          <w:rFonts w:hint="eastAsia" w:ascii="仿宋_GB2312" w:hAnsi="Times New Roman" w:eastAsia="仿宋_GB2312" w:cs="DengXian-Regular"/>
          <w:sz w:val="32"/>
          <w:szCs w:val="32"/>
        </w:rPr>
        <w:t>本部门2019年度公务用车购置量0辆，未发生“公务用车购置”经费支出，公务用车购置费支出与年初预算持平，</w:t>
      </w:r>
      <w:r>
        <w:rPr>
          <w:rFonts w:hint="eastAsia" w:ascii="仿宋_GB2312" w:eastAsia="仿宋_GB2312" w:cs="DengXian-Regular"/>
          <w:sz w:val="32"/>
          <w:szCs w:val="32"/>
        </w:rPr>
        <w:t>主要是认真贯彻落实中央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精神和厉行节约要求，从严控制“三公”经费开支；较上年减少18万元，减少100%，主要是从严控制“三公”经费开支。</w:t>
      </w:r>
    </w:p>
    <w:p>
      <w:pPr>
        <w:adjustRightInd w:val="0"/>
        <w:snapToGrid w:val="0"/>
        <w:spacing w:line="580" w:lineRule="exact"/>
        <w:ind w:firstLine="643" w:firstLineChars="200"/>
        <w:rPr>
          <w:rFonts w:ascii="仿宋_GB2312" w:hAnsi="Times New Roman" w:eastAsia="仿宋_GB2312" w:cs="DengXian-Regular"/>
          <w:sz w:val="32"/>
          <w:szCs w:val="32"/>
        </w:rPr>
      </w:pPr>
      <w:r>
        <w:rPr>
          <w:rFonts w:hint="eastAsia" w:ascii="仿宋_GB2312" w:hAnsi="Times New Roman" w:eastAsia="仿宋_GB2312" w:cs="DengXian-Regular"/>
          <w:b/>
          <w:sz w:val="32"/>
          <w:szCs w:val="32"/>
        </w:rPr>
        <w:t>公务用车运行维护费：</w:t>
      </w:r>
      <w:r>
        <w:rPr>
          <w:rFonts w:hint="eastAsia" w:ascii="仿宋_GB2312" w:hAnsi="Times New Roman" w:eastAsia="仿宋_GB2312" w:cs="DengXian-Regular"/>
          <w:sz w:val="32"/>
          <w:szCs w:val="32"/>
        </w:rPr>
        <w:t>本部门2019年度单位公务用车保有量17辆。公车运行维护费支出与年初预算持平，</w:t>
      </w:r>
      <w:r>
        <w:rPr>
          <w:rFonts w:hint="eastAsia" w:ascii="仿宋_GB2312" w:hAnsi="Times New Roman" w:eastAsia="仿宋_GB2312" w:cs="DengXian-Regular"/>
          <w:sz w:val="32"/>
          <w:szCs w:val="32"/>
          <w:lang w:eastAsia="zh-CN"/>
        </w:rPr>
        <w:t>主要是</w:t>
      </w:r>
      <w:r>
        <w:rPr>
          <w:rFonts w:hint="eastAsia" w:ascii="仿宋_GB2312" w:eastAsia="仿宋_GB2312" w:cs="DengXian-Regular"/>
          <w:sz w:val="32"/>
          <w:szCs w:val="32"/>
        </w:rPr>
        <w:t>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精神和厉行节约要求，从严控制“三公”经费开支；较上年降低了5.29万元，降低11%，主要是认真贯彻落实中央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w:t>
      </w:r>
    </w:p>
    <w:p>
      <w:pPr>
        <w:adjustRightInd w:val="0"/>
        <w:snapToGrid w:val="0"/>
        <w:spacing w:line="580" w:lineRule="exact"/>
        <w:ind w:firstLine="643" w:firstLineChars="200"/>
        <w:rPr>
          <w:rFonts w:ascii="仿宋_GB2312" w:hAnsi="Times New Roman" w:eastAsia="仿宋_GB2312" w:cs="DengXian-Regular"/>
          <w:sz w:val="32"/>
          <w:szCs w:val="32"/>
          <w:highlight w:val="yellow"/>
        </w:rPr>
      </w:pPr>
      <w:r>
        <w:rPr>
          <w:rFonts w:hint="eastAsia" w:ascii="楷体_GB2312" w:hAnsi="Times New Roman" w:eastAsia="楷体_GB2312" w:cs="DengXian-Bold"/>
          <w:b/>
          <w:bCs/>
          <w:sz w:val="32"/>
          <w:szCs w:val="32"/>
        </w:rPr>
        <w:t>（三）公务接待费支出0.25万元。</w:t>
      </w:r>
      <w:r>
        <w:rPr>
          <w:rFonts w:hint="eastAsia" w:ascii="仿宋_GB2312" w:hAnsi="Times New Roman" w:eastAsia="仿宋_GB2312" w:cs="DengXian-Regular"/>
          <w:sz w:val="32"/>
          <w:szCs w:val="32"/>
        </w:rPr>
        <w:t>本部门2019年度公务接待共2批次、26人次。公务接待费支出较预算减少0.11万元，降低30%,主要是</w:t>
      </w:r>
      <w:r>
        <w:rPr>
          <w:rFonts w:hint="eastAsia" w:ascii="仿宋_GB2312" w:eastAsia="仿宋_GB2312" w:cs="DengXian-Regular"/>
          <w:sz w:val="32"/>
          <w:szCs w:val="32"/>
        </w:rPr>
        <w:t>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精神和厉行节约要求，从严控制“三公”经费开支；较上年增加了0.25万元，增加了100%，主要是上级检查工作。</w:t>
      </w:r>
    </w:p>
    <w:p>
      <w:pPr>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六、其他重要事项的说明</w:t>
      </w:r>
    </w:p>
    <w:p>
      <w:pPr>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（一）机关运行经费情况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本部门2019年度机关运行经费支出123.45万元，比2018年度增加15.91万元，增长12.89%。主要原因是政府法制室并入我局。</w:t>
      </w:r>
    </w:p>
    <w:p>
      <w:pPr>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（二）政府采购情况</w:t>
      </w:r>
    </w:p>
    <w:p>
      <w:pPr>
        <w:snapToGrid w:val="0"/>
        <w:spacing w:line="580" w:lineRule="exact"/>
        <w:ind w:firstLine="640" w:firstLineChars="200"/>
        <w:jc w:val="left"/>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本部门2019年度政府采购支出总额0万元，从采购类型来看，</w:t>
      </w:r>
      <w:r>
        <w:rPr>
          <w:rFonts w:ascii="仿宋_GB2312" w:hAnsi="仿宋_GB2312" w:eastAsia="仿宋_GB2312" w:cs="仿宋_GB2312"/>
          <w:color w:val="000000"/>
          <w:kern w:val="0"/>
          <w:sz w:val="32"/>
          <w:szCs w:val="32"/>
          <w:lang w:bidi="ar"/>
        </w:rPr>
        <w:t>政府采购货物支出</w:t>
      </w:r>
      <w:r>
        <w:rPr>
          <w:rFonts w:hint="eastAsia" w:ascii="仿宋_GB2312" w:hAnsi="仿宋_GB2312" w:eastAsia="仿宋_GB2312" w:cs="仿宋_GB2312"/>
          <w:color w:val="000000"/>
          <w:kern w:val="0"/>
          <w:sz w:val="32"/>
          <w:szCs w:val="32"/>
          <w:lang w:bidi="ar"/>
        </w:rPr>
        <w:t>0</w:t>
      </w:r>
      <w:r>
        <w:rPr>
          <w:rFonts w:ascii="仿宋_GB2312" w:hAnsi="仿宋_GB2312" w:eastAsia="仿宋_GB2312" w:cs="仿宋_GB2312"/>
          <w:color w:val="000000"/>
          <w:kern w:val="0"/>
          <w:sz w:val="32"/>
          <w:szCs w:val="32"/>
          <w:lang w:bidi="ar"/>
        </w:rPr>
        <w:t>万元、政府采购工程支出</w:t>
      </w:r>
      <w:r>
        <w:rPr>
          <w:rFonts w:hint="eastAsia" w:ascii="仿宋_GB2312" w:hAnsi="仿宋_GB2312" w:eastAsia="仿宋_GB2312" w:cs="仿宋_GB2312"/>
          <w:color w:val="000000"/>
          <w:kern w:val="0"/>
          <w:sz w:val="32"/>
          <w:szCs w:val="32"/>
          <w:lang w:bidi="ar"/>
        </w:rPr>
        <w:t>0</w:t>
      </w:r>
      <w:r>
        <w:rPr>
          <w:rFonts w:ascii="仿宋_GB2312" w:hAnsi="仿宋_GB2312" w:eastAsia="仿宋_GB2312" w:cs="仿宋_GB2312"/>
          <w:color w:val="000000"/>
          <w:kern w:val="0"/>
          <w:sz w:val="32"/>
          <w:szCs w:val="32"/>
          <w:lang w:bidi="ar"/>
        </w:rPr>
        <w:t xml:space="preserve">万元、政府采购服务支出 </w:t>
      </w:r>
      <w:r>
        <w:rPr>
          <w:rFonts w:hint="eastAsia" w:ascii="仿宋_GB2312" w:hAnsi="仿宋_GB2312" w:eastAsia="仿宋_GB2312" w:cs="仿宋_GB2312"/>
          <w:color w:val="000000"/>
          <w:kern w:val="0"/>
          <w:sz w:val="32"/>
          <w:szCs w:val="32"/>
          <w:lang w:bidi="ar"/>
        </w:rPr>
        <w:t>0</w:t>
      </w:r>
      <w:r>
        <w:rPr>
          <w:rFonts w:ascii="仿宋_GB2312" w:hAnsi="仿宋_GB2312" w:eastAsia="仿宋_GB2312" w:cs="仿宋_GB2312"/>
          <w:color w:val="000000"/>
          <w:kern w:val="0"/>
          <w:sz w:val="32"/>
          <w:szCs w:val="32"/>
          <w:lang w:bidi="ar"/>
        </w:rPr>
        <w:t>万元。</w:t>
      </w:r>
      <w:r>
        <w:rPr>
          <w:rFonts w:hint="eastAsia" w:ascii="仿宋_GB2312" w:hAnsi="仿宋_GB2312" w:eastAsia="仿宋_GB2312" w:cs="仿宋_GB2312"/>
          <w:color w:val="000000"/>
          <w:kern w:val="0"/>
          <w:sz w:val="32"/>
          <w:szCs w:val="32"/>
          <w:lang w:bidi="ar"/>
        </w:rPr>
        <w:t>授予中小企业合同金0万元，占政府采购支出总额的0%，其中授予小微企业合同金额0万元，占政府采购支出总额0%。</w:t>
      </w:r>
    </w:p>
    <w:p>
      <w:pPr>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（三）国有资产占用情况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截至2019年12月31日，本部门共有车辆17辆，与上年持平，主要是</w:t>
      </w:r>
      <w:r>
        <w:rPr>
          <w:rFonts w:hint="eastAsia" w:ascii="仿宋_GB2312" w:eastAsia="仿宋_GB2312" w:cs="DengXian-Regular"/>
          <w:sz w:val="32"/>
          <w:szCs w:val="32"/>
        </w:rPr>
        <w:t>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w:t>
      </w:r>
      <w:r>
        <w:rPr>
          <w:rFonts w:hint="eastAsia" w:ascii="仿宋_GB2312" w:hAnsi="Times New Roman" w:eastAsia="仿宋_GB2312" w:cs="DengXian-Regular"/>
          <w:sz w:val="32"/>
          <w:szCs w:val="32"/>
        </w:rPr>
        <w:t>。其中，副部（省）级及以上领导用车0辆，主要领导干部用车0辆，机要通信用车1辆，应急保障用车0辆，执法执勤用车16辆，特种专业技术用车0辆，离退休干部用车0辆，其他用车0辆。</w:t>
      </w:r>
    </w:p>
    <w:p>
      <w:pPr>
        <w:adjustRightInd w:val="0"/>
        <w:snapToGrid w:val="0"/>
        <w:spacing w:line="580" w:lineRule="exact"/>
        <w:ind w:firstLine="640" w:firstLineChars="200"/>
        <w:rPr>
          <w:rFonts w:ascii="楷体_GB2312" w:hAnsi="Times New Roman" w:eastAsia="楷体_GB2312" w:cs="DengXian-Bold"/>
          <w:b/>
          <w:bCs/>
          <w:sz w:val="32"/>
          <w:szCs w:val="32"/>
        </w:rPr>
      </w:pPr>
      <w:r>
        <w:rPr>
          <w:rFonts w:hint="eastAsia" w:ascii="仿宋_GB2312" w:hAnsi="Times New Roman" w:eastAsia="仿宋_GB2312" w:cs="DengXian-Regular"/>
          <w:sz w:val="32"/>
          <w:szCs w:val="32"/>
        </w:rPr>
        <w:t>单位价值</w:t>
      </w:r>
      <w:r>
        <w:rPr>
          <w:rFonts w:hint="eastAsia" w:ascii="仿宋_GB2312" w:hAnsi="TimesNewRomanPSMT" w:eastAsia="仿宋_GB2312" w:cs="TimesNewRomanPSMT"/>
          <w:sz w:val="32"/>
          <w:szCs w:val="32"/>
        </w:rPr>
        <w:t>50</w:t>
      </w:r>
      <w:r>
        <w:rPr>
          <w:rFonts w:hint="eastAsia" w:ascii="仿宋_GB2312" w:hAnsi="Times New Roman" w:eastAsia="仿宋_GB2312" w:cs="DengXian-Regular"/>
          <w:sz w:val="32"/>
          <w:szCs w:val="32"/>
        </w:rPr>
        <w:t>万元以上通用设备0台（套），与上年持平，主要是</w:t>
      </w:r>
      <w:r>
        <w:rPr>
          <w:rFonts w:hint="eastAsia" w:ascii="仿宋_GB2312" w:eastAsia="仿宋_GB2312" w:cs="DengXian-Regular"/>
          <w:sz w:val="32"/>
          <w:szCs w:val="32"/>
        </w:rPr>
        <w:t>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w:t>
      </w:r>
      <w:r>
        <w:rPr>
          <w:rFonts w:hint="eastAsia" w:ascii="仿宋_GB2312" w:hAnsi="Times New Roman" w:eastAsia="仿宋_GB2312" w:cs="DengXian-Regular"/>
          <w:sz w:val="32"/>
          <w:szCs w:val="32"/>
        </w:rPr>
        <w:t>单位价值</w:t>
      </w:r>
      <w:r>
        <w:rPr>
          <w:rFonts w:hint="eastAsia" w:ascii="仿宋_GB2312" w:hAnsi="TimesNewRomanPSMT" w:eastAsia="仿宋_GB2312" w:cs="TimesNewRomanPSMT"/>
          <w:sz w:val="32"/>
          <w:szCs w:val="32"/>
        </w:rPr>
        <w:t>100</w:t>
      </w:r>
      <w:r>
        <w:rPr>
          <w:rFonts w:hint="eastAsia" w:ascii="仿宋_GB2312" w:hAnsi="Times New Roman" w:eastAsia="仿宋_GB2312" w:cs="DengXian-Regular"/>
          <w:sz w:val="32"/>
          <w:szCs w:val="32"/>
        </w:rPr>
        <w:t>万元以上专用设备0台（套）与上年持平，主要是</w:t>
      </w:r>
      <w:r>
        <w:rPr>
          <w:rFonts w:hint="eastAsia" w:ascii="仿宋_GB2312" w:eastAsia="仿宋_GB2312" w:cs="DengXian-Regular"/>
          <w:sz w:val="32"/>
          <w:szCs w:val="32"/>
        </w:rPr>
        <w:t>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w:t>
      </w:r>
    </w:p>
    <w:p>
      <w:pPr>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（四）其他需要说明的情况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1. 本部门2019年度无政府性基金预算财政拨款收入支出、无国有资本经营预算财政拨款支出，故性基金预算财政拨款收入支出决算表、国有资本经营预算财政拨款支出决算表以空表列示。</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 由于决算公开表格中金额数值应当保留两位小数，公开数据为四舍五入计算结果，个别数据合计项与分项之和存在小数点后差额，特此说明。</w:t>
      </w:r>
    </w:p>
    <w:p>
      <w:pPr>
        <w:spacing w:line="580" w:lineRule="exact"/>
        <w:ind w:firstLine="883" w:firstLineChars="200"/>
        <w:jc w:val="left"/>
        <w:rPr>
          <w:rFonts w:ascii="宋体" w:hAnsi="宋体" w:eastAsia="宋体" w:cs="MS-UIGothic,Bold"/>
          <w:b/>
          <w:bCs/>
          <w:kern w:val="0"/>
          <w:sz w:val="44"/>
          <w:szCs w:val="44"/>
        </w:rPr>
        <w:sectPr>
          <w:type w:val="continuous"/>
          <w:pgSz w:w="11906" w:h="16838"/>
          <w:pgMar w:top="2098" w:right="1474" w:bottom="1984" w:left="1588" w:header="851" w:footer="992" w:gutter="0"/>
          <w:pgNumType w:fmt="numberInDash"/>
          <w:cols w:space="0" w:num="1"/>
          <w:docGrid w:type="lines" w:linePitch="312" w:charSpace="0"/>
        </w:sectPr>
      </w:pPr>
    </w:p>
    <w:p>
      <w:pPr>
        <w:jc w:val="center"/>
        <w:rPr>
          <w:rFonts w:ascii="黑体" w:hAnsi="黑体" w:eastAsia="黑体" w:cs="黑体"/>
          <w:sz w:val="56"/>
          <w:szCs w:val="72"/>
        </w:rPr>
      </w:pPr>
    </w:p>
    <w:p>
      <w:pPr>
        <w:jc w:val="center"/>
        <w:rPr>
          <w:rFonts w:ascii="黑体" w:hAnsi="黑体" w:eastAsia="黑体" w:cs="黑体"/>
          <w:sz w:val="56"/>
          <w:szCs w:val="72"/>
        </w:rPr>
        <w:sectPr>
          <w:type w:val="continuous"/>
          <w:pgSz w:w="11906" w:h="16838"/>
          <w:pgMar w:top="2041" w:right="1531" w:bottom="2041" w:left="1531" w:header="851" w:footer="992" w:gutter="0"/>
          <w:pgNumType w:fmt="numberInDash"/>
          <w:cols w:space="0" w:num="1"/>
          <w:titlePg/>
          <w:docGrid w:type="lines" w:linePitch="312" w:charSpace="0"/>
        </w:sectPr>
      </w:pPr>
    </w:p>
    <w:p>
      <w:pPr>
        <w:rPr>
          <w:rFonts w:ascii="黑体" w:hAnsi="黑体" w:eastAsia="黑体" w:cs="黑体"/>
          <w:sz w:val="56"/>
          <w:szCs w:val="72"/>
        </w:rPr>
        <w:sectPr>
          <w:headerReference r:id="rId16" w:type="first"/>
          <w:footerReference r:id="rId18" w:type="first"/>
          <w:headerReference r:id="rId15" w:type="default"/>
          <w:footerReference r:id="rId17" w:type="default"/>
          <w:type w:val="continuous"/>
          <w:pgSz w:w="11906" w:h="16838"/>
          <w:pgMar w:top="2041" w:right="1531" w:bottom="2041" w:left="1531" w:header="851" w:footer="992" w:gutter="0"/>
          <w:pgNumType w:fmt="numberInDash"/>
          <w:cols w:space="0" w:num="1"/>
          <w:titlePg/>
          <w:docGrid w:type="lines" w:linePitch="312" w:charSpace="0"/>
        </w:sectPr>
      </w:pPr>
      <w:r>
        <w:rPr>
          <w:rFonts w:ascii="黑体" w:hAnsi="黑体" w:eastAsia="黑体" w:cs="黑体"/>
          <w:sz w:val="56"/>
          <w:szCs w:val="72"/>
        </w:rPr>
        <w:br w:type="page"/>
      </w:r>
    </w:p>
    <w:p>
      <w:pP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sz w:val="72"/>
        </w:rPr>
      </w:pPr>
      <w:r>
        <w:rPr>
          <w:sz w:val="72"/>
        </w:rPr>
        <mc:AlternateContent>
          <mc:Choice Requires="wps">
            <w:drawing>
              <wp:anchor distT="0" distB="0" distL="114300" distR="114300" simplePos="0" relativeHeight="251682816" behindDoc="0" locked="0" layoutInCell="1" allowOverlap="1">
                <wp:simplePos x="0" y="0"/>
                <wp:positionH relativeFrom="column">
                  <wp:posOffset>-1021715</wp:posOffset>
                </wp:positionH>
                <wp:positionV relativeFrom="paragraph">
                  <wp:posOffset>441960</wp:posOffset>
                </wp:positionV>
                <wp:extent cx="7793355" cy="3341370"/>
                <wp:effectExtent l="4445" t="4445" r="12700" b="6985"/>
                <wp:wrapNone/>
                <wp:docPr id="188" name="文本框 188"/>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第三部分 相关名词解释</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0.45pt;margin-top:34.8pt;height:263.1pt;width:613.65pt;z-index:251682816;v-text-anchor:middle;mso-width-relative:page;mso-height-relative:page;" fillcolor="#FFD966" filled="t" stroked="t" coordsize="21600,21600" o:gfxdata="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CG5vsn2wAAAAwBAAAPAAAAAAAAAAEAIAAAACIA&#10;AABkcnMvZG93bnJldi54bWxQSwECFAAUAAAACACHTuJA1sRlnngCAAAIBQAADgAAAAAAAAABACAA&#10;AAAqAQAAZHJzL2Uyb0RvYy54bWxQSwUGAAAAAAYABgBZAQAAFAYAAAAA&#10;">
                <v:fill type="pattern" on="t" color2="#FFFFFF [3212]" o:title="5%" focussize="0,0" r:id="rId26"/>
                <v:stroke weight="0.5pt" color="#FFD966 [3204]" joinstyle="round"/>
                <v:imagedata o:title=""/>
                <o:lock v:ext="edit" aspectratio="f"/>
                <v:textbox>
                  <w:txbxContent>
                    <w:p>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第三部分 相关名词解释</w:t>
                      </w:r>
                    </w:p>
                  </w:txbxContent>
                </v:textbox>
              </v:shape>
            </w:pict>
          </mc:Fallback>
        </mc:AlternateContent>
      </w:r>
    </w:p>
    <w:p/>
    <w:p/>
    <w:p/>
    <w:p/>
    <w:p/>
    <w:p/>
    <w:p/>
    <w:p/>
    <w:p/>
    <w:p/>
    <w:p/>
    <w:p/>
    <w:p/>
    <w:p>
      <w:pPr>
        <w:tabs>
          <w:tab w:val="left" w:pos="886"/>
        </w:tabs>
        <w:jc w:val="left"/>
        <w:sectPr>
          <w:headerReference r:id="rId19" w:type="first"/>
          <w:pgSz w:w="11906" w:h="16838"/>
          <w:pgMar w:top="2041" w:right="1531" w:bottom="2041" w:left="1531" w:header="851" w:footer="992" w:gutter="0"/>
          <w:pgNumType w:fmt="numberInDash"/>
          <w:cols w:space="0" w:num="1"/>
          <w:titlePg/>
          <w:docGrid w:type="lines" w:linePitch="312" w:charSpace="0"/>
        </w:sectPr>
      </w:pPr>
    </w:p>
    <w:p>
      <w:pPr>
        <w:rPr>
          <w:rFonts w:ascii="仿宋_GB2312" w:hAnsi="宋体" w:eastAsia="仿宋_GB2312" w:cs="ArialUnicodeMS"/>
          <w:sz w:val="32"/>
          <w:szCs w:val="32"/>
          <w:highlight w:val="yellow"/>
        </w:rPr>
      </w:pPr>
      <w:r>
        <w:rPr>
          <w:rFonts w:hint="eastAsia" w:ascii="仿宋_GB2312" w:hAnsi="宋体" w:eastAsia="仿宋_GB2312" w:cs="ArialUnicodeMS"/>
          <w:sz w:val="32"/>
          <w:szCs w:val="32"/>
          <w:highlight w:val="yellow"/>
        </w:rPr>
        <w:br w:type="page"/>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（一）财政拨款收入：</w:t>
      </w:r>
      <w:r>
        <w:rPr>
          <w:rFonts w:hint="eastAsia" w:ascii="仿宋_GB2312" w:hAnsi="宋体" w:eastAsia="仿宋_GB2312" w:cs="Times New Roman"/>
          <w:color w:val="000000"/>
          <w:kern w:val="0"/>
          <w:sz w:val="32"/>
          <w:szCs w:val="32"/>
        </w:rPr>
        <w:t>本年度从本级财政部门取得的财政拨款，包括一般公共预算财政拨款和政府性基金预算财政拨款。</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（二）事业收入：</w:t>
      </w:r>
      <w:r>
        <w:rPr>
          <w:rFonts w:hint="eastAsia" w:ascii="仿宋_GB2312" w:hAnsi="宋体" w:eastAsia="仿宋_GB2312" w:cs="Times New Roman"/>
          <w:color w:val="000000"/>
          <w:kern w:val="0"/>
          <w:sz w:val="32"/>
          <w:szCs w:val="32"/>
        </w:rPr>
        <w:t>指事业单位开展专业业务活动及辅助活动所取得的收入。</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（三）其他收入：</w:t>
      </w:r>
      <w:r>
        <w:rPr>
          <w:rFonts w:hint="eastAsia" w:ascii="仿宋_GB2312" w:hAnsi="宋体" w:eastAsia="仿宋_GB2312" w:cs="Times New Roman"/>
          <w:color w:val="000000"/>
          <w:kern w:val="0"/>
          <w:sz w:val="32"/>
          <w:szCs w:val="32"/>
        </w:rPr>
        <w:t>指除上述“财政拨款收入”“事业收入”“经营收入”等以外的收入。</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（四）用事业基金弥补收支差额：</w:t>
      </w:r>
      <w:r>
        <w:rPr>
          <w:rFonts w:hint="eastAsia" w:ascii="仿宋_GB2312" w:hAnsi="宋体" w:eastAsia="仿宋_GB2312" w:cs="Times New Roman"/>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（五）年初结转和结余：</w:t>
      </w:r>
      <w:r>
        <w:rPr>
          <w:rFonts w:hint="eastAsia" w:ascii="仿宋_GB2312" w:hAnsi="宋体" w:eastAsia="仿宋_GB2312" w:cs="Times New Roman"/>
          <w:color w:val="000000"/>
          <w:kern w:val="0"/>
          <w:sz w:val="32"/>
          <w:szCs w:val="32"/>
        </w:rPr>
        <w:t>指以前年度尚未完成、结转到本年仍按原规定用途继续使用的资金，或项目已完成等产生的结余资金。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（六）结余分配：</w:t>
      </w:r>
      <w:r>
        <w:rPr>
          <w:rFonts w:hint="eastAsia" w:ascii="仿宋_GB2312" w:hAnsi="宋体" w:eastAsia="仿宋_GB2312" w:cs="Times New Roman"/>
          <w:color w:val="000000"/>
          <w:kern w:val="0"/>
          <w:sz w:val="32"/>
          <w:szCs w:val="32"/>
        </w:rPr>
        <w:t>指事业单位按照事业单位会计制度的规定从非财政补助结余中分配的事业基金和职工福利基金等。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（七）年末结转和结余：</w:t>
      </w:r>
      <w:r>
        <w:rPr>
          <w:rFonts w:hint="eastAsia" w:ascii="仿宋_GB2312" w:hAnsi="宋体" w:eastAsia="仿宋_GB2312" w:cs="Times New Roman"/>
          <w:color w:val="000000"/>
          <w:kern w:val="0"/>
          <w:sz w:val="32"/>
          <w:szCs w:val="32"/>
        </w:rPr>
        <w:t>指单位按有关规定结转到下年或以后年度继续使用的资金，或项目已完成等产生的结余资金。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（八）基本支出：</w:t>
      </w:r>
      <w:r>
        <w:rPr>
          <w:rFonts w:hint="eastAsia" w:ascii="仿宋_GB2312" w:hAnsi="宋体" w:eastAsia="仿宋_GB2312" w:cs="Times New Roman"/>
          <w:color w:val="000000"/>
          <w:kern w:val="0"/>
          <w:sz w:val="32"/>
          <w:szCs w:val="32"/>
        </w:rPr>
        <w:t>填列单位为保障机构正常运转、完成日常工作任务而发生的各项支出。</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（九）项目支出：</w:t>
      </w:r>
      <w:r>
        <w:rPr>
          <w:rFonts w:hint="eastAsia" w:ascii="仿宋_GB2312" w:hAnsi="宋体" w:eastAsia="仿宋_GB2312" w:cs="Times New Roman"/>
          <w:color w:val="000000"/>
          <w:kern w:val="0"/>
          <w:sz w:val="32"/>
          <w:szCs w:val="32"/>
        </w:rPr>
        <w:t>填列单位为完成特定的行政工作任务或事业发展目标，在基本支出之外发生的各项支出</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（十）基本建设支出：</w:t>
      </w:r>
      <w:r>
        <w:rPr>
          <w:rFonts w:hint="eastAsia" w:ascii="仿宋_GB2312" w:hAnsi="宋体" w:eastAsia="仿宋_GB2312"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（十一）其他资本性支出：</w:t>
      </w:r>
      <w:r>
        <w:rPr>
          <w:rFonts w:hint="eastAsia" w:ascii="仿宋_GB2312" w:hAnsi="宋体" w:eastAsia="仿宋_GB2312"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（十二）“三公”经费：</w:t>
      </w:r>
      <w:r>
        <w:rPr>
          <w:rFonts w:hint="eastAsia" w:ascii="仿宋_GB2312" w:hAnsi="宋体" w:eastAsia="仿宋_GB2312"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（十三）其他交通费用：</w:t>
      </w:r>
      <w:r>
        <w:rPr>
          <w:rFonts w:hint="eastAsia" w:ascii="仿宋_GB2312" w:hAnsi="宋体" w:eastAsia="仿宋_GB2312" w:cs="Times New Roman"/>
          <w:color w:val="000000"/>
          <w:kern w:val="0"/>
          <w:sz w:val="32"/>
          <w:szCs w:val="32"/>
        </w:rPr>
        <w:t>填列单位除公务用车运行维护费以外的其他交通费用。如公务交通补贴、租车费用、出租车费用，飞机、船舶等燃料费、维修费、保险费等。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（十四）公务用车购置：</w:t>
      </w:r>
      <w:r>
        <w:rPr>
          <w:rFonts w:hint="eastAsia" w:ascii="仿宋_GB2312" w:hAnsi="宋体" w:eastAsia="仿宋_GB2312" w:cs="Times New Roman"/>
          <w:color w:val="000000"/>
          <w:kern w:val="0"/>
          <w:sz w:val="32"/>
          <w:szCs w:val="32"/>
        </w:rPr>
        <w:t>填列单位公务用车车辆购置支出（含车辆购置税、牌照费）。</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（十五）其他交通工具购置：</w:t>
      </w:r>
      <w:r>
        <w:rPr>
          <w:rFonts w:hint="eastAsia" w:ascii="仿宋_GB2312" w:hAnsi="宋体" w:eastAsia="仿宋_GB2312" w:cs="Times New Roman"/>
          <w:color w:val="000000"/>
          <w:kern w:val="0"/>
          <w:sz w:val="32"/>
          <w:szCs w:val="32"/>
        </w:rPr>
        <w:t>填列单位除公务用车外的其他各类交通工具（如船舶、飞机等）购置支出（含车辆购置税、牌照费）。</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（十六）机关运行经费：</w:t>
      </w:r>
      <w:r>
        <w:rPr>
          <w:rFonts w:hint="eastAsia" w:ascii="仿宋_GB2312" w:hAnsi="宋体" w:eastAsia="仿宋_GB2312"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tabs>
          <w:tab w:val="left" w:pos="235"/>
        </w:tabs>
        <w:ind w:firstLine="643" w:firstLineChars="200"/>
        <w:jc w:val="left"/>
        <w:rPr>
          <w:rFonts w:ascii="仿宋_GB2312" w:hAnsi="Cambria" w:eastAsia="仿宋_GB2312" w:cs="ArialUnicodeMS"/>
          <w:kern w:val="0"/>
          <w:sz w:val="32"/>
          <w:szCs w:val="32"/>
        </w:rPr>
      </w:pPr>
      <w:r>
        <w:rPr>
          <w:rFonts w:hint="eastAsia" w:ascii="仿宋_GB2312" w:hAnsi="宋体" w:eastAsia="仿宋_GB2312" w:cs="Times New Roman"/>
          <w:b/>
          <w:bCs/>
          <w:color w:val="000000"/>
          <w:kern w:val="0"/>
          <w:sz w:val="32"/>
          <w:szCs w:val="32"/>
        </w:rPr>
        <w:t>（十七）经费形式:</w:t>
      </w:r>
      <w:r>
        <w:rPr>
          <w:rFonts w:hint="eastAsia" w:ascii="仿宋_GB2312" w:hAnsi="宋体" w:eastAsia="仿宋_GB2312" w:cs="Times New Roman"/>
          <w:color w:val="000000"/>
          <w:kern w:val="0"/>
          <w:sz w:val="32"/>
          <w:szCs w:val="32"/>
        </w:rPr>
        <w:t>按照经费来源，</w:t>
      </w:r>
      <w:r>
        <w:rPr>
          <w:rFonts w:hint="eastAsia" w:ascii="仿宋_GB2312" w:hAnsi="Cambria" w:eastAsia="仿宋_GB2312" w:cs="ArialUnicodeMS"/>
          <w:kern w:val="0"/>
          <w:sz w:val="32"/>
          <w:szCs w:val="32"/>
        </w:rPr>
        <w:t>可分为财政拨款、财政性资金基本保证、财政性资金定额或定项补助、财政性资金零补助四类。</w:t>
      </w:r>
    </w:p>
    <w:p/>
    <w:p/>
    <w:p/>
    <w:p/>
    <w:p/>
    <w:p/>
    <w:p/>
    <w:p/>
    <w:p/>
    <w:p>
      <w:pPr>
        <w:jc w:val="left"/>
        <w:sectPr>
          <w:headerReference r:id="rId20" w:type="default"/>
          <w:type w:val="continuous"/>
          <w:pgSz w:w="11906" w:h="16838"/>
          <w:pgMar w:top="2098" w:right="1474" w:bottom="1985" w:left="1588" w:header="851" w:footer="992" w:gutter="0"/>
          <w:pgNumType w:fmt="numberInDash"/>
          <w:cols w:space="425" w:num="1"/>
          <w:docGrid w:type="lines" w:linePitch="312" w:charSpace="0"/>
        </w:sectPr>
      </w:pPr>
    </w:p>
    <w:p>
      <w:pPr>
        <w:tabs>
          <w:tab w:val="left" w:pos="235"/>
        </w:tabs>
        <w:jc w:val="left"/>
        <w:sectPr>
          <w:headerReference r:id="rId21" w:type="default"/>
          <w:pgSz w:w="11906" w:h="16838"/>
          <w:pgMar w:top="2098" w:right="1474" w:bottom="1985" w:left="1588" w:header="851" w:footer="992" w:gutter="0"/>
          <w:pgNumType w:fmt="numberInDash"/>
          <w:cols w:space="425" w:num="1"/>
          <w:docGrid w:type="lines" w:linePitch="312" w:charSpace="0"/>
        </w:sectPr>
      </w:pPr>
      <w:r>
        <w:rPr>
          <w:sz w:val="72"/>
        </w:rPr>
        <mc:AlternateContent>
          <mc:Choice Requires="wps">
            <w:drawing>
              <wp:anchor distT="0" distB="0" distL="114300" distR="114300" simplePos="0" relativeHeight="251683840" behindDoc="0" locked="0" layoutInCell="1" allowOverlap="1">
                <wp:simplePos x="0" y="0"/>
                <wp:positionH relativeFrom="column">
                  <wp:posOffset>-1042035</wp:posOffset>
                </wp:positionH>
                <wp:positionV relativeFrom="paragraph">
                  <wp:posOffset>1725295</wp:posOffset>
                </wp:positionV>
                <wp:extent cx="7793355" cy="3341370"/>
                <wp:effectExtent l="4445" t="4445" r="12700" b="6985"/>
                <wp:wrapNone/>
                <wp:docPr id="229" name="文本框 229"/>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第四部分 </w:t>
                            </w:r>
                          </w:p>
                          <w:p>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2019年度部门决算报表</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2.05pt;margin-top:135.85pt;height:263.1pt;width:613.65pt;z-index:251683840;v-text-anchor:middle;mso-width-relative:page;mso-height-relative:page;" fillcolor="#FFD966" filled="t" stroked="t" coordsize="21600,21600" o:gfxdata="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RhqDitwAAAANAQAADwAAAAAAAAABACAAAAAi&#10;AAAAZHJzL2Rvd25yZXYueG1sUEsBAhQAFAAAAAgAh07iQMn1XHp4AgAACAUAAA4AAAAAAAAAAQAg&#10;AAAAKwEAAGRycy9lMm9Eb2MueG1sUEsFBgAAAAAGAAYAWQEAABUGAAAAAA==&#10;">
                <v:fill type="pattern" on="t" color2="#FFFFFF [3212]" o:title="5%" focussize="0,0" r:id="rId26"/>
                <v:stroke weight="0.5pt" color="#FFD966 [3204]" joinstyle="round"/>
                <v:imagedata o:title=""/>
                <o:lock v:ext="edit" aspectratio="f"/>
                <v:textbox>
                  <w:txbxContent>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第四部分 </w:t>
                      </w:r>
                    </w:p>
                    <w:p>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2019年度部门决算报表</w:t>
                      </w:r>
                    </w:p>
                  </w:txbxContent>
                </v:textbox>
              </v:shape>
            </w:pict>
          </mc:Fallback>
        </mc:AlternateContent>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1800" w:firstLineChars="450"/>
        <w:rPr>
          <w:rFonts w:ascii="黑体" w:hAnsi="Times New Roman" w:eastAsia="黑体" w:cs="Times New Roman"/>
          <w:sz w:val="32"/>
          <w:szCs w:val="40"/>
        </w:rPr>
      </w:pPr>
      <w:r>
        <w:rPr>
          <w:rFonts w:hint="eastAsia" w:ascii="黑体" w:hAnsi="宋体" w:eastAsia="黑体" w:cs="黑体"/>
          <w:color w:val="000000"/>
          <w:kern w:val="0"/>
          <w:sz w:val="40"/>
          <w:szCs w:val="40"/>
          <w:lang w:bidi="ar"/>
        </w:rPr>
        <w:t>2019年</w:t>
      </w:r>
      <w:r>
        <w:rPr>
          <w:rFonts w:ascii="黑体" w:hAnsi="宋体" w:eastAsia="黑体" w:cs="黑体"/>
          <w:color w:val="000000"/>
          <w:kern w:val="0"/>
          <w:sz w:val="40"/>
          <w:szCs w:val="40"/>
          <w:lang w:bidi="ar"/>
        </w:rPr>
        <w:t>部门决算报表见</w:t>
      </w:r>
      <w:r>
        <w:rPr>
          <w:rFonts w:hint="eastAsia" w:ascii="黑体" w:hAnsi="宋体" w:eastAsia="黑体" w:cs="黑体"/>
          <w:color w:val="000000"/>
          <w:kern w:val="0"/>
          <w:sz w:val="40"/>
          <w:szCs w:val="40"/>
          <w:lang w:bidi="ar"/>
        </w:rPr>
        <w:t>附表</w:t>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widowControl/>
        <w:jc w:val="left"/>
        <w:rPr>
          <w:rFonts w:ascii="黑体" w:hAnsi="Times New Roman" w:eastAsia="黑体" w:cs="Times New Roman"/>
          <w:sz w:val="32"/>
          <w:szCs w:val="40"/>
        </w:rPr>
      </w:pPr>
      <w:r>
        <w:rPr>
          <w:rFonts w:ascii="黑体" w:hAnsi="Times New Roman" w:eastAsia="黑体" w:cs="Times New Roman"/>
          <w:sz w:val="32"/>
          <w:szCs w:val="40"/>
        </w:rPr>
        <w:br w:type="page"/>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1440" w:firstLineChars="200"/>
        <w:rPr>
          <w:rFonts w:ascii="黑体" w:hAnsi="Times New Roman" w:eastAsia="黑体" w:cs="Times New Roman"/>
          <w:sz w:val="32"/>
          <w:szCs w:val="40"/>
        </w:rPr>
      </w:pPr>
      <w:r>
        <w:rPr>
          <w:sz w:val="72"/>
        </w:rPr>
        <mc:AlternateContent>
          <mc:Choice Requires="wps">
            <w:drawing>
              <wp:anchor distT="0" distB="0" distL="114300" distR="114300" simplePos="0" relativeHeight="251684864" behindDoc="0" locked="0" layoutInCell="1" allowOverlap="1">
                <wp:simplePos x="0" y="0"/>
                <wp:positionH relativeFrom="column">
                  <wp:posOffset>-876300</wp:posOffset>
                </wp:positionH>
                <wp:positionV relativeFrom="paragraph">
                  <wp:posOffset>372745</wp:posOffset>
                </wp:positionV>
                <wp:extent cx="7793355" cy="3341370"/>
                <wp:effectExtent l="0" t="0" r="17145" b="11430"/>
                <wp:wrapNone/>
                <wp:docPr id="26" name="文本框 26"/>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ysClr val="window" lastClr="FFFFFF"/>
                          </a:bgClr>
                        </a:pattFill>
                        <a:ln w="6350">
                          <a:solidFill>
                            <a:srgbClr val="FFD966"/>
                          </a:solidFill>
                        </a:ln>
                        <a:effectLst/>
                      </wps:spPr>
                      <wps:txbx>
                        <w:txbxContent>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第五部分 </w:t>
                            </w:r>
                          </w:p>
                          <w:p>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预算绩效</w:t>
                            </w:r>
                            <w: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公开内容</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69pt;margin-top:29.35pt;height:263.1pt;width:613.65pt;z-index:251684864;v-text-anchor:middle;mso-width-relative:page;mso-height-relative:page;" fillcolor="#FFD966" filled="t" stroked="t" coordsize="21600,21600" o:gfxdata="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DewpQvbAAAA&#10;DAEAAA8AAAAAAAAAAQAgAAAAIgAAAGRycy9kb3ducmV2LnhtbFBLAQIUABQAAAAIAIdO4kAme8UB&#10;jAIAACQFAAAOAAAAAAAAAAEAIAAAACoBAABkcnMvZTJvRG9jLnhtbFBLBQYAAAAABgAGAFkBAAAo&#10;BgAAAAA=&#10;">
                <v:fill type="pattern" on="t" color2="#FFFFFF" o:title="5%" focussize="0,0" r:id="rId26"/>
                <v:stroke weight="0.5pt" color="#FFD966" joinstyle="round"/>
                <v:imagedata o:title=""/>
                <o:lock v:ext="edit" aspectratio="f"/>
                <v:textbox>
                  <w:txbxContent>
                    <w:p>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第五部分 </w:t>
                      </w:r>
                    </w:p>
                    <w:p>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预算绩效</w:t>
                      </w:r>
                      <w: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公开内容</w:t>
                      </w:r>
                    </w:p>
                  </w:txbxContent>
                </v:textbox>
              </v:shape>
            </w:pict>
          </mc:Fallback>
        </mc:AlternateContent>
      </w: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adjustRightInd w:val="0"/>
        <w:snapToGrid w:val="0"/>
        <w:spacing w:line="580" w:lineRule="exact"/>
        <w:ind w:firstLine="640" w:firstLineChars="200"/>
        <w:rPr>
          <w:rFonts w:ascii="黑体" w:hAnsi="Times New Roman" w:eastAsia="黑体" w:cs="Times New Roman"/>
          <w:sz w:val="32"/>
          <w:szCs w:val="40"/>
        </w:rPr>
      </w:pPr>
    </w:p>
    <w:p>
      <w:pPr>
        <w:pStyle w:val="14"/>
        <w:spacing w:line="583" w:lineRule="auto"/>
        <w:ind w:firstLine="420"/>
        <w:jc w:val="both"/>
        <w:rPr>
          <w:b/>
        </w:rPr>
      </w:pPr>
      <w:r>
        <w:rPr>
          <w:rFonts w:hint="eastAsia" w:cs="Times New Roman" w:asciiTheme="minorEastAsia" w:hAnsiTheme="minorEastAsia" w:eastAsiaTheme="minorEastAsia"/>
          <w:b/>
          <w:sz w:val="32"/>
          <w:szCs w:val="32"/>
        </w:rPr>
        <w:t>一、预算情况说明</w:t>
      </w:r>
    </w:p>
    <w:p>
      <w:pPr>
        <w:pStyle w:val="14"/>
        <w:spacing w:line="583" w:lineRule="auto"/>
        <w:ind w:firstLine="420"/>
        <w:jc w:val="both"/>
        <w:rPr>
          <w:b/>
          <w:color w:val="000000"/>
          <w:sz w:val="32"/>
          <w:szCs w:val="32"/>
        </w:rPr>
      </w:pPr>
      <w:r>
        <w:rPr>
          <w:b/>
          <w:color w:val="000000"/>
          <w:sz w:val="32"/>
          <w:szCs w:val="32"/>
        </w:rPr>
        <w:t>（一）预算绩效管理工作开展情况</w:t>
      </w:r>
    </w:p>
    <w:p>
      <w:pPr>
        <w:ind w:firstLine="640" w:firstLineChars="200"/>
        <w:rPr>
          <w:rFonts w:ascii="仿宋" w:hAnsi="仿宋" w:eastAsia="仿宋"/>
          <w:sz w:val="32"/>
          <w:szCs w:val="32"/>
        </w:rPr>
      </w:pPr>
      <w:r>
        <w:rPr>
          <w:rFonts w:ascii="仿宋" w:hAnsi="仿宋" w:eastAsia="仿宋"/>
          <w:sz w:val="32"/>
          <w:szCs w:val="32"/>
        </w:rPr>
        <w:t>根据预算绩效管理要求，本部门对2019年度整体绩效实现情况和项目支出情况开展绩效评价。组织对2019年度一般公共预算项目支出全面开展绩效自评，项目</w:t>
      </w:r>
      <w:r>
        <w:rPr>
          <w:rFonts w:hint="eastAsia" w:ascii="仿宋" w:hAnsi="仿宋" w:eastAsia="仿宋"/>
          <w:sz w:val="32"/>
          <w:szCs w:val="32"/>
        </w:rPr>
        <w:t>5</w:t>
      </w:r>
      <w:r>
        <w:rPr>
          <w:rFonts w:ascii="仿宋" w:hAnsi="仿宋" w:eastAsia="仿宋"/>
          <w:sz w:val="32"/>
          <w:szCs w:val="32"/>
        </w:rPr>
        <w:t>个，涉及资金</w:t>
      </w:r>
      <w:r>
        <w:rPr>
          <w:rFonts w:hint="eastAsia" w:ascii="仿宋" w:hAnsi="仿宋" w:eastAsia="仿宋"/>
          <w:sz w:val="32"/>
          <w:szCs w:val="32"/>
        </w:rPr>
        <w:t>93.23</w:t>
      </w:r>
      <w:r>
        <w:rPr>
          <w:rFonts w:ascii="仿宋" w:hAnsi="仿宋" w:eastAsia="仿宋"/>
          <w:sz w:val="32"/>
          <w:szCs w:val="32"/>
        </w:rPr>
        <w:t>万元，占一般公共预算项目支出总额的</w:t>
      </w:r>
      <w:r>
        <w:rPr>
          <w:rFonts w:hint="eastAsia" w:ascii="仿宋" w:hAnsi="仿宋" w:eastAsia="仿宋"/>
          <w:sz w:val="32"/>
          <w:szCs w:val="32"/>
        </w:rPr>
        <w:t>100%。</w:t>
      </w:r>
      <w:r>
        <w:rPr>
          <w:rFonts w:ascii="仿宋" w:hAnsi="仿宋" w:eastAsia="仿宋"/>
          <w:sz w:val="32"/>
          <w:szCs w:val="32"/>
        </w:rPr>
        <w:t>组织</w:t>
      </w:r>
      <w:r>
        <w:rPr>
          <w:rFonts w:hint="eastAsia" w:ascii="仿宋" w:hAnsi="仿宋" w:eastAsia="仿宋"/>
          <w:sz w:val="32"/>
          <w:szCs w:val="32"/>
        </w:rPr>
        <w:t>对社区矫正业务费</w:t>
      </w:r>
      <w:r>
        <w:rPr>
          <w:rFonts w:ascii="仿宋" w:hAnsi="仿宋" w:eastAsia="仿宋"/>
          <w:sz w:val="32"/>
          <w:szCs w:val="32"/>
        </w:rPr>
        <w:t>等</w:t>
      </w:r>
      <w:r>
        <w:rPr>
          <w:rFonts w:hint="eastAsia" w:ascii="仿宋" w:hAnsi="仿宋" w:eastAsia="仿宋"/>
          <w:sz w:val="32"/>
          <w:szCs w:val="32"/>
        </w:rPr>
        <w:t>5</w:t>
      </w:r>
      <w:r>
        <w:rPr>
          <w:rFonts w:ascii="仿宋" w:hAnsi="仿宋" w:eastAsia="仿宋"/>
          <w:sz w:val="32"/>
          <w:szCs w:val="32"/>
        </w:rPr>
        <w:t>个项目开展了部门评价，涉及一般公共预算支出</w:t>
      </w:r>
      <w:r>
        <w:rPr>
          <w:rFonts w:hint="eastAsia" w:ascii="仿宋" w:hAnsi="仿宋" w:eastAsia="仿宋"/>
          <w:sz w:val="32"/>
          <w:szCs w:val="32"/>
        </w:rPr>
        <w:t>93.23</w:t>
      </w:r>
      <w:r>
        <w:rPr>
          <w:rFonts w:ascii="仿宋" w:hAnsi="仿宋" w:eastAsia="仿宋"/>
          <w:sz w:val="32"/>
          <w:szCs w:val="32"/>
        </w:rPr>
        <w:t>万元。从评价情况来看</w:t>
      </w:r>
      <w:r>
        <w:rPr>
          <w:rFonts w:hint="eastAsia" w:ascii="仿宋" w:hAnsi="仿宋" w:eastAsia="仿宋"/>
          <w:sz w:val="32"/>
          <w:szCs w:val="32"/>
        </w:rPr>
        <w:t>，2019年预算项目绩效目标执行情况较好</w:t>
      </w:r>
      <w:r>
        <w:rPr>
          <w:rFonts w:ascii="仿宋" w:hAnsi="仿宋" w:eastAsia="仿宋"/>
          <w:sz w:val="32"/>
          <w:szCs w:val="32"/>
        </w:rPr>
        <w:t>。</w:t>
      </w:r>
    </w:p>
    <w:p>
      <w:pPr>
        <w:ind w:firstLine="640" w:firstLineChars="200"/>
        <w:rPr>
          <w:rFonts w:ascii="微软雅黑" w:hAnsi="微软雅黑" w:eastAsia="微软雅黑"/>
          <w:b/>
          <w:sz w:val="32"/>
          <w:szCs w:val="32"/>
        </w:rPr>
      </w:pPr>
      <w:r>
        <w:rPr>
          <w:rFonts w:ascii="微软雅黑" w:hAnsi="微软雅黑" w:eastAsia="微软雅黑"/>
          <w:b/>
          <w:sz w:val="32"/>
          <w:szCs w:val="32"/>
        </w:rPr>
        <w:t>（二）部门绩效评价结果</w:t>
      </w:r>
    </w:p>
    <w:p>
      <w:pPr>
        <w:ind w:firstLine="643" w:firstLineChars="200"/>
        <w:rPr>
          <w:rFonts w:ascii="仿宋" w:hAnsi="仿宋" w:eastAsia="仿宋"/>
          <w:sz w:val="32"/>
          <w:szCs w:val="32"/>
        </w:rPr>
      </w:pPr>
      <w:r>
        <w:rPr>
          <w:rFonts w:ascii="仿宋" w:hAnsi="仿宋" w:eastAsia="仿宋"/>
          <w:b/>
          <w:sz w:val="32"/>
          <w:szCs w:val="32"/>
        </w:rPr>
        <w:t>1.项目绩效自评结果。</w:t>
      </w:r>
      <w:r>
        <w:rPr>
          <w:rFonts w:ascii="仿宋" w:hAnsi="仿宋" w:eastAsia="仿宋"/>
          <w:sz w:val="32"/>
          <w:szCs w:val="32"/>
        </w:rPr>
        <w:t>本部门2019 年度对</w:t>
      </w:r>
      <w:r>
        <w:rPr>
          <w:rFonts w:hint="eastAsia" w:ascii="仿宋" w:hAnsi="仿宋" w:eastAsia="仿宋"/>
          <w:sz w:val="32"/>
          <w:szCs w:val="32"/>
        </w:rPr>
        <w:t>5</w:t>
      </w:r>
      <w:r>
        <w:rPr>
          <w:rFonts w:ascii="仿宋" w:hAnsi="仿宋" w:eastAsia="仿宋"/>
          <w:sz w:val="32"/>
          <w:szCs w:val="32"/>
        </w:rPr>
        <w:t>个项目进行了绩效自评，项目自评结果90 分以上的</w:t>
      </w:r>
      <w:r>
        <w:rPr>
          <w:rFonts w:hint="eastAsia" w:ascii="仿宋" w:hAnsi="仿宋" w:eastAsia="仿宋"/>
          <w:sz w:val="32"/>
          <w:szCs w:val="32"/>
        </w:rPr>
        <w:t>5</w:t>
      </w:r>
      <w:r>
        <w:rPr>
          <w:rFonts w:ascii="仿宋" w:hAnsi="仿宋" w:eastAsia="仿宋"/>
          <w:sz w:val="32"/>
          <w:szCs w:val="32"/>
        </w:rPr>
        <w:t>项，80 -90分的</w:t>
      </w:r>
      <w:r>
        <w:rPr>
          <w:rFonts w:hint="eastAsia" w:ascii="仿宋" w:hAnsi="仿宋" w:eastAsia="仿宋"/>
          <w:sz w:val="32"/>
          <w:szCs w:val="32"/>
        </w:rPr>
        <w:t>0</w:t>
      </w:r>
      <w:r>
        <w:rPr>
          <w:rFonts w:ascii="仿宋" w:hAnsi="仿宋" w:eastAsia="仿宋"/>
          <w:sz w:val="32"/>
          <w:szCs w:val="32"/>
        </w:rPr>
        <w:t>项，80分以下的</w:t>
      </w:r>
      <w:r>
        <w:rPr>
          <w:rFonts w:hint="eastAsia" w:ascii="仿宋" w:hAnsi="仿宋" w:eastAsia="仿宋"/>
          <w:sz w:val="32"/>
          <w:szCs w:val="32"/>
        </w:rPr>
        <w:t>0</w:t>
      </w:r>
      <w:r>
        <w:rPr>
          <w:rFonts w:ascii="仿宋" w:hAnsi="仿宋" w:eastAsia="仿宋"/>
          <w:sz w:val="32"/>
          <w:szCs w:val="32"/>
        </w:rPr>
        <w:t>项。在部门决算公开中反映</w:t>
      </w:r>
      <w:r>
        <w:rPr>
          <w:rFonts w:hint="eastAsia" w:ascii="仿宋" w:hAnsi="仿宋" w:eastAsia="仿宋"/>
          <w:sz w:val="32"/>
          <w:szCs w:val="32"/>
        </w:rPr>
        <w:t>法律援助业务费</w:t>
      </w:r>
      <w:r>
        <w:rPr>
          <w:rFonts w:ascii="仿宋" w:hAnsi="仿宋" w:eastAsia="仿宋"/>
          <w:sz w:val="32"/>
          <w:szCs w:val="32"/>
        </w:rPr>
        <w:t>等</w:t>
      </w:r>
      <w:r>
        <w:rPr>
          <w:rFonts w:hint="eastAsia" w:ascii="仿宋" w:hAnsi="仿宋" w:eastAsia="仿宋"/>
          <w:sz w:val="32"/>
          <w:szCs w:val="32"/>
        </w:rPr>
        <w:t>1</w:t>
      </w:r>
      <w:r>
        <w:rPr>
          <w:rFonts w:ascii="仿宋" w:hAnsi="仿宋" w:eastAsia="仿宋"/>
          <w:sz w:val="32"/>
          <w:szCs w:val="32"/>
        </w:rPr>
        <w:t>个项目绩效自评结果。</w:t>
      </w:r>
      <w:r>
        <w:rPr>
          <w:rFonts w:hint="eastAsia" w:ascii="仿宋" w:hAnsi="仿宋" w:eastAsia="仿宋"/>
          <w:sz w:val="32"/>
          <w:szCs w:val="32"/>
        </w:rPr>
        <w:t>法律援助业务费</w:t>
      </w:r>
      <w:r>
        <w:rPr>
          <w:rFonts w:ascii="仿宋" w:hAnsi="仿宋" w:eastAsia="仿宋"/>
          <w:sz w:val="32"/>
          <w:szCs w:val="32"/>
        </w:rPr>
        <w:t>项目自评综述：根据年初设定的绩效目标，</w:t>
      </w:r>
      <w:r>
        <w:rPr>
          <w:rFonts w:hint="eastAsia" w:ascii="仿宋" w:hAnsi="仿宋" w:eastAsia="仿宋"/>
          <w:sz w:val="32"/>
          <w:szCs w:val="32"/>
        </w:rPr>
        <w:t>法律援助业务费</w:t>
      </w:r>
      <w:r>
        <w:rPr>
          <w:rFonts w:ascii="仿宋" w:hAnsi="仿宋" w:eastAsia="仿宋"/>
          <w:sz w:val="32"/>
          <w:szCs w:val="32"/>
        </w:rPr>
        <w:t>项目绩效自评得分为</w:t>
      </w:r>
      <w:r>
        <w:rPr>
          <w:rFonts w:hint="eastAsia" w:ascii="仿宋" w:hAnsi="仿宋" w:eastAsia="仿宋"/>
          <w:sz w:val="32"/>
          <w:szCs w:val="32"/>
        </w:rPr>
        <w:t>100</w:t>
      </w:r>
      <w:r>
        <w:rPr>
          <w:rFonts w:ascii="仿宋" w:hAnsi="仿宋" w:eastAsia="仿宋"/>
          <w:sz w:val="32"/>
          <w:szCs w:val="32"/>
        </w:rPr>
        <w:t>分（绩效自评表附后）。全年预算数为</w:t>
      </w:r>
      <w:r>
        <w:rPr>
          <w:rFonts w:hint="eastAsia" w:ascii="仿宋" w:hAnsi="仿宋" w:eastAsia="仿宋"/>
          <w:sz w:val="32"/>
          <w:szCs w:val="32"/>
        </w:rPr>
        <w:t>3.6</w:t>
      </w:r>
      <w:r>
        <w:rPr>
          <w:rFonts w:ascii="仿宋" w:hAnsi="仿宋" w:eastAsia="仿宋"/>
          <w:sz w:val="32"/>
          <w:szCs w:val="32"/>
        </w:rPr>
        <w:t>万元，执行数为</w:t>
      </w:r>
      <w:r>
        <w:rPr>
          <w:rFonts w:hint="eastAsia" w:ascii="仿宋" w:hAnsi="仿宋" w:eastAsia="仿宋"/>
          <w:sz w:val="32"/>
          <w:szCs w:val="32"/>
        </w:rPr>
        <w:t>3.6</w:t>
      </w:r>
      <w:r>
        <w:rPr>
          <w:rFonts w:ascii="仿宋" w:hAnsi="仿宋" w:eastAsia="仿宋"/>
          <w:sz w:val="32"/>
          <w:szCs w:val="32"/>
        </w:rPr>
        <w:t>万元，完成预算的</w:t>
      </w:r>
      <w:r>
        <w:rPr>
          <w:rFonts w:hint="eastAsia" w:ascii="仿宋" w:hAnsi="仿宋" w:eastAsia="仿宋"/>
          <w:sz w:val="32"/>
          <w:szCs w:val="32"/>
        </w:rPr>
        <w:t>100%</w:t>
      </w:r>
      <w:r>
        <w:rPr>
          <w:rFonts w:ascii="仿宋" w:hAnsi="仿宋" w:eastAsia="仿宋"/>
          <w:sz w:val="32"/>
          <w:szCs w:val="32"/>
        </w:rPr>
        <w:t>。项目绩效目标完成情况：一是</w:t>
      </w:r>
      <w:r>
        <w:rPr>
          <w:rFonts w:hint="eastAsia" w:ascii="仿宋" w:hAnsi="仿宋" w:eastAsia="仿宋"/>
          <w:sz w:val="32"/>
          <w:szCs w:val="32"/>
        </w:rPr>
        <w:t>法律援助案件受理件数完成年度指标值</w:t>
      </w:r>
      <w:r>
        <w:rPr>
          <w:rFonts w:ascii="仿宋" w:hAnsi="仿宋" w:eastAsia="仿宋"/>
          <w:sz w:val="32"/>
          <w:szCs w:val="32"/>
        </w:rPr>
        <w:t>；二是</w:t>
      </w:r>
      <w:r>
        <w:rPr>
          <w:rFonts w:hint="eastAsia" w:ascii="仿宋" w:hAnsi="仿宋" w:eastAsia="仿宋"/>
          <w:sz w:val="32"/>
          <w:szCs w:val="32"/>
        </w:rPr>
        <w:t>法律援助办理案件较上年提高20%，完成10%的年度指标值</w:t>
      </w:r>
      <w:r>
        <w:rPr>
          <w:rFonts w:ascii="仿宋" w:hAnsi="仿宋" w:eastAsia="仿宋"/>
          <w:sz w:val="32"/>
          <w:szCs w:val="32"/>
        </w:rPr>
        <w:t>。</w:t>
      </w:r>
    </w:p>
    <w:p>
      <w:pPr>
        <w:ind w:firstLine="643" w:firstLineChars="200"/>
        <w:rPr>
          <w:rFonts w:ascii="仿宋" w:hAnsi="仿宋" w:eastAsia="仿宋"/>
          <w:b/>
          <w:sz w:val="32"/>
          <w:szCs w:val="32"/>
        </w:rPr>
      </w:pPr>
      <w:r>
        <w:rPr>
          <w:rFonts w:ascii="仿宋" w:hAnsi="仿宋" w:eastAsia="仿宋"/>
          <w:b/>
          <w:sz w:val="32"/>
          <w:szCs w:val="32"/>
        </w:rPr>
        <w:t>2.财政评价项目绩效评价结果</w:t>
      </w:r>
      <w:r>
        <w:rPr>
          <w:rFonts w:hint="eastAsia" w:ascii="仿宋" w:hAnsi="仿宋" w:eastAsia="仿宋"/>
          <w:b/>
          <w:sz w:val="32"/>
          <w:szCs w:val="32"/>
        </w:rPr>
        <w:t>。</w:t>
      </w:r>
    </w:p>
    <w:p>
      <w:pPr>
        <w:ind w:firstLine="640" w:firstLineChars="200"/>
        <w:rPr>
          <w:rFonts w:ascii="仿宋" w:hAnsi="仿宋" w:eastAsia="仿宋"/>
          <w:sz w:val="32"/>
          <w:szCs w:val="32"/>
        </w:rPr>
      </w:pPr>
      <w:r>
        <w:rPr>
          <w:rFonts w:hint="eastAsia" w:ascii="仿宋" w:hAnsi="仿宋" w:eastAsia="仿宋"/>
          <w:sz w:val="32"/>
          <w:szCs w:val="32"/>
        </w:rPr>
        <w:t>无</w:t>
      </w:r>
    </w:p>
    <w:p>
      <w:pPr>
        <w:ind w:firstLine="643" w:firstLineChars="200"/>
        <w:rPr>
          <w:rFonts w:ascii="仿宋" w:hAnsi="仿宋" w:eastAsia="仿宋"/>
          <w:b/>
          <w:sz w:val="32"/>
          <w:szCs w:val="32"/>
        </w:rPr>
      </w:pPr>
      <w:r>
        <w:rPr>
          <w:rFonts w:hint="eastAsia" w:ascii="仿宋" w:hAnsi="仿宋" w:eastAsia="仿宋"/>
          <w:b/>
          <w:sz w:val="32"/>
          <w:szCs w:val="32"/>
        </w:rPr>
        <w:t>3.</w:t>
      </w:r>
      <w:r>
        <w:rPr>
          <w:rFonts w:ascii="仿宋" w:hAnsi="仿宋" w:eastAsia="仿宋"/>
          <w:b/>
          <w:sz w:val="32"/>
          <w:szCs w:val="32"/>
        </w:rPr>
        <w:t>部门整体绩效自评结果。</w:t>
      </w:r>
    </w:p>
    <w:p>
      <w:pPr>
        <w:ind w:firstLine="640" w:firstLineChars="200"/>
        <w:rPr>
          <w:rFonts w:ascii="仿宋" w:hAnsi="仿宋" w:eastAsia="仿宋"/>
          <w:sz w:val="32"/>
          <w:szCs w:val="32"/>
        </w:rPr>
      </w:pPr>
      <w:r>
        <w:rPr>
          <w:rFonts w:ascii="仿宋" w:hAnsi="仿宋" w:eastAsia="仿宋"/>
          <w:sz w:val="32"/>
          <w:szCs w:val="32"/>
        </w:rPr>
        <w:t>本部门对2019年度部门整体绩效进行自评价，自评得分</w:t>
      </w:r>
      <w:r>
        <w:rPr>
          <w:rFonts w:hint="eastAsia" w:ascii="仿宋" w:hAnsi="仿宋" w:eastAsia="仿宋"/>
          <w:sz w:val="32"/>
          <w:szCs w:val="32"/>
        </w:rPr>
        <w:t>88.5</w:t>
      </w:r>
      <w:r>
        <w:rPr>
          <w:rFonts w:ascii="仿宋" w:hAnsi="仿宋" w:eastAsia="仿宋"/>
          <w:sz w:val="32"/>
          <w:szCs w:val="32"/>
        </w:rPr>
        <w:t>分，评价等级为良。从评价情况来看，我局较好完成了2019 年履行职能职责和各项重点工作任务，整体绩效情况较为理想，总体上达到了预算绩效管理的要求。</w:t>
      </w:r>
    </w:p>
    <w:p>
      <w:r>
        <w:t>二、绩效公开表格</w:t>
      </w:r>
    </w:p>
    <w:tbl>
      <w:tblPr>
        <w:tblStyle w:val="7"/>
        <w:tblW w:w="8254"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 w:type="dxa"/>
          <w:bottom w:w="0" w:type="dxa"/>
          <w:right w:w="10" w:type="dxa"/>
        </w:tblCellMar>
      </w:tblPr>
      <w:tblGrid>
        <w:gridCol w:w="469"/>
        <w:gridCol w:w="495"/>
        <w:gridCol w:w="1139"/>
        <w:gridCol w:w="562"/>
        <w:gridCol w:w="764"/>
        <w:gridCol w:w="375"/>
        <w:gridCol w:w="765"/>
        <w:gridCol w:w="710"/>
        <w:gridCol w:w="375"/>
        <w:gridCol w:w="375"/>
        <w:gridCol w:w="375"/>
        <w:gridCol w:w="375"/>
        <w:gridCol w:w="603"/>
        <w:gridCol w:w="497"/>
        <w:gridCol w:w="375"/>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7879" w:type="dxa"/>
            <w:gridSpan w:val="14"/>
            <w:vAlign w:val="center"/>
          </w:tcPr>
          <w:p>
            <w:pPr>
              <w:jc w:val="center"/>
              <w:rPr>
                <w:sz w:val="36"/>
                <w:szCs w:val="36"/>
              </w:rPr>
            </w:pPr>
            <w:r>
              <w:rPr>
                <w:sz w:val="36"/>
                <w:szCs w:val="36"/>
              </w:rPr>
              <w:t>项目支出绩效自评表</w:t>
            </w:r>
          </w:p>
        </w:tc>
        <w:tc>
          <w:tcPr>
            <w:tcW w:w="375" w:type="dxa"/>
          </w:tcPr>
          <w:p>
            <w:pPr>
              <w:jc w:val="cente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55" w:hRule="atLeast"/>
        </w:trPr>
        <w:tc>
          <w:tcPr>
            <w:tcW w:w="8254" w:type="dxa"/>
            <w:gridSpan w:val="15"/>
          </w:tcPr>
          <w:p>
            <w:pPr>
              <w:jc w:val="center"/>
            </w:pPr>
            <w:r>
              <w:t xml:space="preserve">（    </w:t>
            </w:r>
            <w:r>
              <w:rPr>
                <w:rFonts w:hint="eastAsia"/>
              </w:rPr>
              <w:t>2019</w:t>
            </w:r>
            <w:r>
              <w:t>年度）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964" w:type="dxa"/>
            <w:gridSpan w:val="2"/>
            <w:vAlign w:val="center"/>
          </w:tcPr>
          <w:p>
            <w:r>
              <w:t>项目名称</w:t>
            </w:r>
          </w:p>
        </w:tc>
        <w:tc>
          <w:tcPr>
            <w:tcW w:w="7290" w:type="dxa"/>
            <w:gridSpan w:val="13"/>
            <w:vAlign w:val="center"/>
          </w:tcPr>
          <w:p>
            <w:r>
              <w:rPr>
                <w:rFonts w:hint="eastAsia"/>
              </w:rPr>
              <w:t>司法局法律援助业务费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964" w:type="dxa"/>
            <w:gridSpan w:val="2"/>
            <w:vAlign w:val="center"/>
          </w:tcPr>
          <w:p>
            <w:r>
              <w:t>主管部门</w:t>
            </w:r>
          </w:p>
        </w:tc>
        <w:tc>
          <w:tcPr>
            <w:tcW w:w="3605" w:type="dxa"/>
            <w:gridSpan w:val="5"/>
            <w:vAlign w:val="center"/>
          </w:tcPr>
          <w:p>
            <w:r>
              <w:rPr>
                <w:rFonts w:hint="eastAsia"/>
              </w:rPr>
              <w:t>永清县司法局</w:t>
            </w:r>
          </w:p>
        </w:tc>
        <w:tc>
          <w:tcPr>
            <w:tcW w:w="1085" w:type="dxa"/>
            <w:gridSpan w:val="2"/>
            <w:vAlign w:val="center"/>
          </w:tcPr>
          <w:p>
            <w:r>
              <w:t>实施单位</w:t>
            </w:r>
          </w:p>
        </w:tc>
        <w:tc>
          <w:tcPr>
            <w:tcW w:w="2600" w:type="dxa"/>
            <w:gridSpan w:val="6"/>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964" w:type="dxa"/>
            <w:gridSpan w:val="2"/>
            <w:vMerge w:val="restart"/>
            <w:vAlign w:val="center"/>
          </w:tcPr>
          <w:p>
            <w:r>
              <w:t>项目资金</w:t>
            </w:r>
            <w:r>
              <w:br w:type="textWrapping"/>
            </w:r>
            <w:r>
              <w:t>（万元）</w:t>
            </w:r>
          </w:p>
        </w:tc>
        <w:tc>
          <w:tcPr>
            <w:tcW w:w="1701" w:type="dxa"/>
            <w:gridSpan w:val="2"/>
            <w:vAlign w:val="center"/>
          </w:tcPr>
          <w:p/>
        </w:tc>
        <w:tc>
          <w:tcPr>
            <w:tcW w:w="1139" w:type="dxa"/>
            <w:gridSpan w:val="2"/>
            <w:vAlign w:val="center"/>
          </w:tcPr>
          <w:p>
            <w:r>
              <w:t>年初</w:t>
            </w:r>
          </w:p>
          <w:p>
            <w:r>
              <w:t>预算数</w:t>
            </w:r>
          </w:p>
        </w:tc>
        <w:tc>
          <w:tcPr>
            <w:tcW w:w="765" w:type="dxa"/>
            <w:vAlign w:val="center"/>
          </w:tcPr>
          <w:p>
            <w:r>
              <w:t>全年</w:t>
            </w:r>
          </w:p>
          <w:p>
            <w:r>
              <w:t>预算数</w:t>
            </w:r>
          </w:p>
        </w:tc>
        <w:tc>
          <w:tcPr>
            <w:tcW w:w="1085" w:type="dxa"/>
            <w:gridSpan w:val="2"/>
            <w:vAlign w:val="center"/>
          </w:tcPr>
          <w:p>
            <w:r>
              <w:t>全年</w:t>
            </w:r>
          </w:p>
          <w:p>
            <w:r>
              <w:t>执行数</w:t>
            </w:r>
          </w:p>
        </w:tc>
        <w:tc>
          <w:tcPr>
            <w:tcW w:w="750" w:type="dxa"/>
            <w:gridSpan w:val="2"/>
            <w:vAlign w:val="center"/>
          </w:tcPr>
          <w:p>
            <w:r>
              <w:t>分值</w:t>
            </w:r>
          </w:p>
        </w:tc>
        <w:tc>
          <w:tcPr>
            <w:tcW w:w="978" w:type="dxa"/>
            <w:gridSpan w:val="2"/>
            <w:vAlign w:val="center"/>
          </w:tcPr>
          <w:p>
            <w:r>
              <w:t>执行率</w:t>
            </w:r>
          </w:p>
        </w:tc>
        <w:tc>
          <w:tcPr>
            <w:tcW w:w="872" w:type="dxa"/>
            <w:gridSpan w:val="2"/>
            <w:vAlign w:val="center"/>
          </w:tcPr>
          <w:p>
            <w:r>
              <w:t>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964" w:type="dxa"/>
            <w:gridSpan w:val="2"/>
            <w:vMerge w:val="continue"/>
            <w:vAlign w:val="center"/>
          </w:tcPr>
          <w:p/>
        </w:tc>
        <w:tc>
          <w:tcPr>
            <w:tcW w:w="1701" w:type="dxa"/>
            <w:gridSpan w:val="2"/>
            <w:vAlign w:val="center"/>
          </w:tcPr>
          <w:p>
            <w:r>
              <w:t>年度资金总额</w:t>
            </w:r>
          </w:p>
        </w:tc>
        <w:tc>
          <w:tcPr>
            <w:tcW w:w="1139" w:type="dxa"/>
            <w:gridSpan w:val="2"/>
            <w:vAlign w:val="center"/>
          </w:tcPr>
          <w:p>
            <w:r>
              <w:rPr>
                <w:rFonts w:hint="eastAsia"/>
              </w:rPr>
              <w:t>3.6</w:t>
            </w:r>
          </w:p>
        </w:tc>
        <w:tc>
          <w:tcPr>
            <w:tcW w:w="765" w:type="dxa"/>
            <w:vAlign w:val="center"/>
          </w:tcPr>
          <w:p>
            <w:r>
              <w:rPr>
                <w:rFonts w:hint="eastAsia"/>
              </w:rPr>
              <w:t>3.6</w:t>
            </w:r>
          </w:p>
        </w:tc>
        <w:tc>
          <w:tcPr>
            <w:tcW w:w="1085" w:type="dxa"/>
            <w:gridSpan w:val="2"/>
            <w:vAlign w:val="center"/>
          </w:tcPr>
          <w:p>
            <w:r>
              <w:rPr>
                <w:rFonts w:hint="eastAsia"/>
              </w:rPr>
              <w:t>3.6</w:t>
            </w:r>
          </w:p>
        </w:tc>
        <w:tc>
          <w:tcPr>
            <w:tcW w:w="750" w:type="dxa"/>
            <w:gridSpan w:val="2"/>
            <w:vAlign w:val="center"/>
          </w:tcPr>
          <w:p>
            <w:r>
              <w:t>10</w:t>
            </w:r>
          </w:p>
        </w:tc>
        <w:tc>
          <w:tcPr>
            <w:tcW w:w="978" w:type="dxa"/>
            <w:gridSpan w:val="2"/>
            <w:vAlign w:val="center"/>
          </w:tcPr>
          <w:p>
            <w:r>
              <w:rPr>
                <w:rFonts w:hint="eastAsia"/>
              </w:rPr>
              <w:t>100%</w:t>
            </w:r>
          </w:p>
        </w:tc>
        <w:tc>
          <w:tcPr>
            <w:tcW w:w="872" w:type="dxa"/>
            <w:gridSpan w:val="2"/>
            <w:vAlign w:val="center"/>
          </w:tcPr>
          <w:p>
            <w:r>
              <w:rPr>
                <w:rFonts w:hint="eastAsia"/>
              </w:rP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964" w:type="dxa"/>
            <w:gridSpan w:val="2"/>
            <w:vMerge w:val="continue"/>
            <w:vAlign w:val="center"/>
          </w:tcPr>
          <w:p/>
        </w:tc>
        <w:tc>
          <w:tcPr>
            <w:tcW w:w="1701" w:type="dxa"/>
            <w:gridSpan w:val="2"/>
            <w:vAlign w:val="center"/>
          </w:tcPr>
          <w:p>
            <w:r>
              <w:t>其中：当年财政拨款</w:t>
            </w:r>
          </w:p>
        </w:tc>
        <w:tc>
          <w:tcPr>
            <w:tcW w:w="1139" w:type="dxa"/>
            <w:gridSpan w:val="2"/>
            <w:vAlign w:val="center"/>
          </w:tcPr>
          <w:p>
            <w:r>
              <w:rPr>
                <w:rFonts w:hint="eastAsia"/>
              </w:rPr>
              <w:t>3.6</w:t>
            </w:r>
          </w:p>
        </w:tc>
        <w:tc>
          <w:tcPr>
            <w:tcW w:w="765" w:type="dxa"/>
            <w:vAlign w:val="center"/>
          </w:tcPr>
          <w:p>
            <w:r>
              <w:rPr>
                <w:rFonts w:hint="eastAsia"/>
              </w:rPr>
              <w:t>3.6</w:t>
            </w:r>
          </w:p>
        </w:tc>
        <w:tc>
          <w:tcPr>
            <w:tcW w:w="1085" w:type="dxa"/>
            <w:gridSpan w:val="2"/>
            <w:vAlign w:val="center"/>
          </w:tcPr>
          <w:p>
            <w:r>
              <w:rPr>
                <w:rFonts w:hint="eastAsia"/>
              </w:rPr>
              <w:t>3.6</w:t>
            </w:r>
          </w:p>
        </w:tc>
        <w:tc>
          <w:tcPr>
            <w:tcW w:w="750" w:type="dxa"/>
            <w:gridSpan w:val="2"/>
            <w:vAlign w:val="center"/>
          </w:tcPr>
          <w:p>
            <w:r>
              <w:t>—</w:t>
            </w:r>
          </w:p>
        </w:tc>
        <w:tc>
          <w:tcPr>
            <w:tcW w:w="978" w:type="dxa"/>
            <w:gridSpan w:val="2"/>
            <w:vAlign w:val="center"/>
          </w:tcPr>
          <w:p>
            <w:r>
              <w:rPr>
                <w:rFonts w:hint="eastAsia"/>
              </w:rPr>
              <w:t>100%</w:t>
            </w:r>
          </w:p>
        </w:tc>
        <w:tc>
          <w:tcPr>
            <w:tcW w:w="872" w:type="dxa"/>
            <w:gridSpan w:val="2"/>
            <w:vAlign w:val="center"/>
          </w:tcPr>
          <w:p>
            <w: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964" w:type="dxa"/>
            <w:gridSpan w:val="2"/>
            <w:vMerge w:val="continue"/>
            <w:vAlign w:val="center"/>
          </w:tcPr>
          <w:p/>
        </w:tc>
        <w:tc>
          <w:tcPr>
            <w:tcW w:w="1701" w:type="dxa"/>
            <w:gridSpan w:val="2"/>
            <w:vAlign w:val="center"/>
          </w:tcPr>
          <w:p>
            <w:r>
              <w:t xml:space="preserve">      上年结转资金</w:t>
            </w:r>
          </w:p>
        </w:tc>
        <w:tc>
          <w:tcPr>
            <w:tcW w:w="1139" w:type="dxa"/>
            <w:gridSpan w:val="2"/>
            <w:vAlign w:val="center"/>
          </w:tcPr>
          <w:p/>
        </w:tc>
        <w:tc>
          <w:tcPr>
            <w:tcW w:w="765" w:type="dxa"/>
            <w:vAlign w:val="center"/>
          </w:tcPr>
          <w:p/>
        </w:tc>
        <w:tc>
          <w:tcPr>
            <w:tcW w:w="1085" w:type="dxa"/>
            <w:gridSpan w:val="2"/>
            <w:vAlign w:val="center"/>
          </w:tcPr>
          <w:p/>
        </w:tc>
        <w:tc>
          <w:tcPr>
            <w:tcW w:w="750" w:type="dxa"/>
            <w:gridSpan w:val="2"/>
            <w:vAlign w:val="center"/>
          </w:tcPr>
          <w:p>
            <w:r>
              <w:t>—</w:t>
            </w:r>
          </w:p>
        </w:tc>
        <w:tc>
          <w:tcPr>
            <w:tcW w:w="978" w:type="dxa"/>
            <w:gridSpan w:val="2"/>
            <w:vAlign w:val="center"/>
          </w:tcPr>
          <w:p/>
        </w:tc>
        <w:tc>
          <w:tcPr>
            <w:tcW w:w="872" w:type="dxa"/>
            <w:gridSpan w:val="2"/>
            <w:vAlign w:val="center"/>
          </w:tcPr>
          <w:p>
            <w: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964" w:type="dxa"/>
            <w:gridSpan w:val="2"/>
            <w:vMerge w:val="continue"/>
            <w:vAlign w:val="center"/>
          </w:tcPr>
          <w:p/>
        </w:tc>
        <w:tc>
          <w:tcPr>
            <w:tcW w:w="1701" w:type="dxa"/>
            <w:gridSpan w:val="2"/>
            <w:vAlign w:val="center"/>
          </w:tcPr>
          <w:p>
            <w:r>
              <w:t xml:space="preserve">  其他资金</w:t>
            </w:r>
          </w:p>
        </w:tc>
        <w:tc>
          <w:tcPr>
            <w:tcW w:w="1139" w:type="dxa"/>
            <w:gridSpan w:val="2"/>
            <w:vAlign w:val="center"/>
          </w:tcPr>
          <w:p/>
        </w:tc>
        <w:tc>
          <w:tcPr>
            <w:tcW w:w="765" w:type="dxa"/>
            <w:vAlign w:val="center"/>
          </w:tcPr>
          <w:p/>
        </w:tc>
        <w:tc>
          <w:tcPr>
            <w:tcW w:w="1085" w:type="dxa"/>
            <w:gridSpan w:val="2"/>
            <w:vAlign w:val="center"/>
          </w:tcPr>
          <w:p/>
        </w:tc>
        <w:tc>
          <w:tcPr>
            <w:tcW w:w="750" w:type="dxa"/>
            <w:gridSpan w:val="2"/>
            <w:vAlign w:val="center"/>
          </w:tcPr>
          <w:p>
            <w:r>
              <w:t>—</w:t>
            </w:r>
          </w:p>
        </w:tc>
        <w:tc>
          <w:tcPr>
            <w:tcW w:w="978" w:type="dxa"/>
            <w:gridSpan w:val="2"/>
            <w:vAlign w:val="center"/>
          </w:tcPr>
          <w:p/>
        </w:tc>
        <w:tc>
          <w:tcPr>
            <w:tcW w:w="872" w:type="dxa"/>
            <w:gridSpan w:val="2"/>
            <w:vAlign w:val="center"/>
          </w:tcPr>
          <w:p>
            <w: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469" w:type="dxa"/>
            <w:vMerge w:val="restart"/>
            <w:vAlign w:val="center"/>
          </w:tcPr>
          <w:p>
            <w:r>
              <w:t>年度总体目标</w:t>
            </w:r>
          </w:p>
        </w:tc>
        <w:tc>
          <w:tcPr>
            <w:tcW w:w="4100" w:type="dxa"/>
            <w:gridSpan w:val="6"/>
            <w:vAlign w:val="center"/>
          </w:tcPr>
          <w:p>
            <w:r>
              <w:t>预期目标</w:t>
            </w:r>
          </w:p>
        </w:tc>
        <w:tc>
          <w:tcPr>
            <w:tcW w:w="3685" w:type="dxa"/>
            <w:gridSpan w:val="8"/>
            <w:vAlign w:val="center"/>
          </w:tcPr>
          <w:p>
            <w:r>
              <w:t>实际完成情况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469" w:type="dxa"/>
            <w:vMerge w:val="continue"/>
            <w:vAlign w:val="center"/>
          </w:tcPr>
          <w:p/>
        </w:tc>
        <w:tc>
          <w:tcPr>
            <w:tcW w:w="4100" w:type="dxa"/>
            <w:gridSpan w:val="6"/>
            <w:vAlign w:val="center"/>
          </w:tcPr>
          <w:p>
            <w:r>
              <w:rPr>
                <w:rFonts w:hint="eastAsia"/>
              </w:rPr>
              <w:t>通过法律援助项目的开展，办理了法律援助案件，扩大了法律覆盖面，推动全县法律援助工作长足发展。</w:t>
            </w:r>
          </w:p>
        </w:tc>
        <w:tc>
          <w:tcPr>
            <w:tcW w:w="3685" w:type="dxa"/>
            <w:gridSpan w:val="8"/>
            <w:vAlign w:val="center"/>
          </w:tcPr>
          <w:p>
            <w:r>
              <w:rPr>
                <w:rFonts w:hint="eastAsia"/>
              </w:rPr>
              <w:t>已完成</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65" w:hRule="atLeast"/>
        </w:trPr>
        <w:tc>
          <w:tcPr>
            <w:tcW w:w="469" w:type="dxa"/>
            <w:vMerge w:val="restart"/>
            <w:vAlign w:val="center"/>
          </w:tcPr>
          <w:p>
            <w:r>
              <w:t>绩</w:t>
            </w:r>
            <w:r>
              <w:br w:type="textWrapping"/>
            </w:r>
            <w:r>
              <w:t>效</w:t>
            </w:r>
            <w:r>
              <w:br w:type="textWrapping"/>
            </w:r>
            <w:r>
              <w:t>指</w:t>
            </w:r>
            <w:r>
              <w:br w:type="textWrapping"/>
            </w:r>
            <w:r>
              <w:t>标</w:t>
            </w:r>
          </w:p>
        </w:tc>
        <w:tc>
          <w:tcPr>
            <w:tcW w:w="495" w:type="dxa"/>
            <w:vAlign w:val="center"/>
          </w:tcPr>
          <w:p>
            <w:r>
              <w:t>一级指标</w:t>
            </w:r>
          </w:p>
        </w:tc>
        <w:tc>
          <w:tcPr>
            <w:tcW w:w="1139" w:type="dxa"/>
            <w:vAlign w:val="center"/>
          </w:tcPr>
          <w:p>
            <w:r>
              <w:t>二级指标</w:t>
            </w:r>
          </w:p>
        </w:tc>
        <w:tc>
          <w:tcPr>
            <w:tcW w:w="1326" w:type="dxa"/>
            <w:gridSpan w:val="2"/>
            <w:vAlign w:val="center"/>
          </w:tcPr>
          <w:p>
            <w:r>
              <w:t>三级指标</w:t>
            </w:r>
          </w:p>
        </w:tc>
        <w:tc>
          <w:tcPr>
            <w:tcW w:w="1140" w:type="dxa"/>
            <w:gridSpan w:val="2"/>
            <w:vAlign w:val="center"/>
          </w:tcPr>
          <w:p>
            <w:r>
              <w:t>年度</w:t>
            </w:r>
          </w:p>
          <w:p>
            <w:r>
              <w:t>指标值</w:t>
            </w:r>
          </w:p>
        </w:tc>
        <w:tc>
          <w:tcPr>
            <w:tcW w:w="710" w:type="dxa"/>
            <w:vAlign w:val="center"/>
          </w:tcPr>
          <w:p>
            <w:r>
              <w:t>实际</w:t>
            </w:r>
          </w:p>
          <w:p>
            <w:r>
              <w:t>完成值</w:t>
            </w:r>
          </w:p>
        </w:tc>
        <w:tc>
          <w:tcPr>
            <w:tcW w:w="750" w:type="dxa"/>
            <w:gridSpan w:val="2"/>
            <w:vAlign w:val="center"/>
          </w:tcPr>
          <w:p>
            <w:r>
              <w:t>分值</w:t>
            </w:r>
          </w:p>
        </w:tc>
        <w:tc>
          <w:tcPr>
            <w:tcW w:w="750" w:type="dxa"/>
            <w:gridSpan w:val="2"/>
            <w:vAlign w:val="center"/>
          </w:tcPr>
          <w:p>
            <w:r>
              <w:t>得分</w:t>
            </w:r>
          </w:p>
        </w:tc>
        <w:tc>
          <w:tcPr>
            <w:tcW w:w="1475" w:type="dxa"/>
            <w:gridSpan w:val="3"/>
            <w:vAlign w:val="center"/>
          </w:tcPr>
          <w:p>
            <w:r>
              <w:t>偏差原因分析及改进措施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restart"/>
            <w:vAlign w:val="center"/>
          </w:tcPr>
          <w:p>
            <w:r>
              <w:t>产出指标</w:t>
            </w:r>
          </w:p>
        </w:tc>
        <w:tc>
          <w:tcPr>
            <w:tcW w:w="1139" w:type="dxa"/>
            <w:vAlign w:val="center"/>
          </w:tcPr>
          <w:p>
            <w:r>
              <w:t>数量指标</w:t>
            </w:r>
          </w:p>
        </w:tc>
        <w:tc>
          <w:tcPr>
            <w:tcW w:w="1326" w:type="dxa"/>
            <w:gridSpan w:val="2"/>
            <w:vAlign w:val="center"/>
          </w:tcPr>
          <w:p>
            <w:r>
              <w:rPr>
                <w:rFonts w:hint="eastAsia"/>
              </w:rPr>
              <w:t>办理法律援助案件数</w:t>
            </w:r>
          </w:p>
        </w:tc>
        <w:tc>
          <w:tcPr>
            <w:tcW w:w="1140" w:type="dxa"/>
            <w:gridSpan w:val="2"/>
            <w:vAlign w:val="center"/>
          </w:tcPr>
          <w:p>
            <w:r>
              <w:rPr>
                <w:rFonts w:hint="eastAsia"/>
              </w:rPr>
              <w:t>≥30</w:t>
            </w:r>
          </w:p>
        </w:tc>
        <w:tc>
          <w:tcPr>
            <w:tcW w:w="710" w:type="dxa"/>
            <w:vAlign w:val="center"/>
          </w:tcPr>
          <w:p>
            <w:r>
              <w:rPr>
                <w:rFonts w:hint="eastAsia"/>
              </w:rPr>
              <w:t>≥30</w:t>
            </w:r>
          </w:p>
        </w:tc>
        <w:tc>
          <w:tcPr>
            <w:tcW w:w="750" w:type="dxa"/>
            <w:gridSpan w:val="2"/>
            <w:vAlign w:val="center"/>
          </w:tcPr>
          <w:p>
            <w:r>
              <w:rPr>
                <w:rFonts w:hint="eastAsia"/>
              </w:rPr>
              <w:t>15</w:t>
            </w:r>
          </w:p>
        </w:tc>
        <w:tc>
          <w:tcPr>
            <w:tcW w:w="750" w:type="dxa"/>
            <w:gridSpan w:val="2"/>
            <w:vAlign w:val="center"/>
          </w:tcPr>
          <w:p>
            <w:r>
              <w:rPr>
                <w:rFonts w:hint="eastAsia"/>
              </w:rPr>
              <w:t>15</w:t>
            </w: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continue"/>
            <w:vAlign w:val="center"/>
          </w:tcPr>
          <w:p/>
        </w:tc>
        <w:tc>
          <w:tcPr>
            <w:tcW w:w="1139" w:type="dxa"/>
            <w:vAlign w:val="center"/>
          </w:tcPr>
          <w:p>
            <w:r>
              <w:t>质量指标</w:t>
            </w:r>
          </w:p>
        </w:tc>
        <w:tc>
          <w:tcPr>
            <w:tcW w:w="1326" w:type="dxa"/>
            <w:gridSpan w:val="2"/>
            <w:vAlign w:val="center"/>
          </w:tcPr>
          <w:p>
            <w:r>
              <w:rPr>
                <w:rFonts w:hint="eastAsia"/>
              </w:rPr>
              <w:t>法律援助办案增长率</w:t>
            </w:r>
          </w:p>
        </w:tc>
        <w:tc>
          <w:tcPr>
            <w:tcW w:w="1140" w:type="dxa"/>
            <w:gridSpan w:val="2"/>
            <w:vAlign w:val="center"/>
          </w:tcPr>
          <w:p>
            <w:r>
              <w:rPr>
                <w:rFonts w:hint="eastAsia"/>
              </w:rPr>
              <w:t>≥10%</w:t>
            </w:r>
          </w:p>
        </w:tc>
        <w:tc>
          <w:tcPr>
            <w:tcW w:w="710" w:type="dxa"/>
            <w:vAlign w:val="center"/>
          </w:tcPr>
          <w:p>
            <w:r>
              <w:rPr>
                <w:rFonts w:hint="eastAsia"/>
              </w:rPr>
              <w:t>≥10%</w:t>
            </w:r>
          </w:p>
        </w:tc>
        <w:tc>
          <w:tcPr>
            <w:tcW w:w="750" w:type="dxa"/>
            <w:gridSpan w:val="2"/>
            <w:vAlign w:val="center"/>
          </w:tcPr>
          <w:p>
            <w:r>
              <w:rPr>
                <w:rFonts w:hint="eastAsia"/>
              </w:rPr>
              <w:t>10</w:t>
            </w:r>
          </w:p>
        </w:tc>
        <w:tc>
          <w:tcPr>
            <w:tcW w:w="750" w:type="dxa"/>
            <w:gridSpan w:val="2"/>
            <w:vAlign w:val="center"/>
          </w:tcPr>
          <w:p>
            <w:r>
              <w:rPr>
                <w:rFonts w:hint="eastAsia"/>
              </w:rPr>
              <w:t>10</w:t>
            </w: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continue"/>
            <w:vAlign w:val="center"/>
          </w:tcPr>
          <w:p/>
        </w:tc>
        <w:tc>
          <w:tcPr>
            <w:tcW w:w="1139" w:type="dxa"/>
            <w:vAlign w:val="center"/>
          </w:tcPr>
          <w:p>
            <w:r>
              <w:t>时效指标</w:t>
            </w:r>
          </w:p>
        </w:tc>
        <w:tc>
          <w:tcPr>
            <w:tcW w:w="1326" w:type="dxa"/>
            <w:gridSpan w:val="2"/>
            <w:vAlign w:val="center"/>
          </w:tcPr>
          <w:p>
            <w:r>
              <w:rPr>
                <w:rFonts w:hint="eastAsia"/>
              </w:rPr>
              <w:t>工作完成及时性</w:t>
            </w:r>
            <w:r>
              <w:t>：</w:t>
            </w:r>
          </w:p>
        </w:tc>
        <w:tc>
          <w:tcPr>
            <w:tcW w:w="1140" w:type="dxa"/>
            <w:gridSpan w:val="2"/>
            <w:vAlign w:val="center"/>
          </w:tcPr>
          <w:p>
            <w:r>
              <w:rPr>
                <w:rFonts w:hint="eastAsia"/>
              </w:rPr>
              <w:t>按时完成工作</w:t>
            </w:r>
          </w:p>
        </w:tc>
        <w:tc>
          <w:tcPr>
            <w:tcW w:w="710" w:type="dxa"/>
            <w:vAlign w:val="center"/>
          </w:tcPr>
          <w:p>
            <w:r>
              <w:rPr>
                <w:rFonts w:hint="eastAsia"/>
              </w:rPr>
              <w:t>按时完成工作</w:t>
            </w:r>
          </w:p>
        </w:tc>
        <w:tc>
          <w:tcPr>
            <w:tcW w:w="750" w:type="dxa"/>
            <w:gridSpan w:val="2"/>
            <w:vAlign w:val="center"/>
          </w:tcPr>
          <w:p>
            <w:r>
              <w:rPr>
                <w:rFonts w:hint="eastAsia"/>
              </w:rPr>
              <w:t>10</w:t>
            </w:r>
          </w:p>
        </w:tc>
        <w:tc>
          <w:tcPr>
            <w:tcW w:w="750" w:type="dxa"/>
            <w:gridSpan w:val="2"/>
            <w:vAlign w:val="center"/>
          </w:tcPr>
          <w:p>
            <w:r>
              <w:rPr>
                <w:rFonts w:hint="eastAsia"/>
              </w:rPr>
              <w:t>10</w:t>
            </w: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continue"/>
            <w:vAlign w:val="center"/>
          </w:tcPr>
          <w:p/>
        </w:tc>
        <w:tc>
          <w:tcPr>
            <w:tcW w:w="1139" w:type="dxa"/>
            <w:vAlign w:val="center"/>
          </w:tcPr>
          <w:p>
            <w:r>
              <w:t>成本指标</w:t>
            </w:r>
          </w:p>
        </w:tc>
        <w:tc>
          <w:tcPr>
            <w:tcW w:w="1326" w:type="dxa"/>
            <w:gridSpan w:val="2"/>
          </w:tcPr>
          <w:p>
            <w:r>
              <w:rPr>
                <w:rFonts w:hint="eastAsia"/>
              </w:rPr>
              <w:t>指标</w:t>
            </w:r>
            <w:r>
              <w:t>1：项目完成成本控制</w:t>
            </w:r>
          </w:p>
        </w:tc>
        <w:tc>
          <w:tcPr>
            <w:tcW w:w="1140" w:type="dxa"/>
            <w:gridSpan w:val="2"/>
          </w:tcPr>
          <w:p>
            <w:r>
              <w:t>按规定严格控制成本</w:t>
            </w:r>
          </w:p>
        </w:tc>
        <w:tc>
          <w:tcPr>
            <w:tcW w:w="710" w:type="dxa"/>
          </w:tcPr>
          <w:p>
            <w:r>
              <w:t>按规定严格控制成本</w:t>
            </w:r>
          </w:p>
        </w:tc>
        <w:tc>
          <w:tcPr>
            <w:tcW w:w="750" w:type="dxa"/>
            <w:gridSpan w:val="2"/>
          </w:tcPr>
          <w:p>
            <w:r>
              <w:t>15</w:t>
            </w:r>
          </w:p>
        </w:tc>
        <w:tc>
          <w:tcPr>
            <w:tcW w:w="750" w:type="dxa"/>
            <w:gridSpan w:val="2"/>
          </w:tcPr>
          <w:p>
            <w:r>
              <w:t>15</w:t>
            </w: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restart"/>
            <w:vAlign w:val="center"/>
          </w:tcPr>
          <w:p>
            <w:r>
              <w:t>效益指标</w:t>
            </w:r>
          </w:p>
          <w:p/>
        </w:tc>
        <w:tc>
          <w:tcPr>
            <w:tcW w:w="1139" w:type="dxa"/>
            <w:vAlign w:val="center"/>
          </w:tcPr>
          <w:p>
            <w:r>
              <w:t>经济效益</w:t>
            </w:r>
          </w:p>
          <w:p>
            <w:r>
              <w:t>指标</w:t>
            </w:r>
          </w:p>
        </w:tc>
        <w:tc>
          <w:tcPr>
            <w:tcW w:w="1326" w:type="dxa"/>
            <w:gridSpan w:val="2"/>
            <w:vAlign w:val="center"/>
          </w:tcPr>
          <w:p/>
        </w:tc>
        <w:tc>
          <w:tcPr>
            <w:tcW w:w="1140" w:type="dxa"/>
            <w:gridSpan w:val="2"/>
            <w:vAlign w:val="center"/>
          </w:tcPr>
          <w:p/>
        </w:tc>
        <w:tc>
          <w:tcPr>
            <w:tcW w:w="710" w:type="dxa"/>
            <w:vAlign w:val="center"/>
          </w:tcPr>
          <w:p/>
        </w:tc>
        <w:tc>
          <w:tcPr>
            <w:tcW w:w="750" w:type="dxa"/>
            <w:gridSpan w:val="2"/>
            <w:vAlign w:val="center"/>
          </w:tcPr>
          <w:p/>
        </w:tc>
        <w:tc>
          <w:tcPr>
            <w:tcW w:w="750" w:type="dxa"/>
            <w:gridSpan w:val="2"/>
            <w:vAlign w:val="center"/>
          </w:tcP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continue"/>
            <w:vAlign w:val="center"/>
          </w:tcPr>
          <w:p/>
        </w:tc>
        <w:tc>
          <w:tcPr>
            <w:tcW w:w="1139" w:type="dxa"/>
            <w:vAlign w:val="center"/>
          </w:tcPr>
          <w:p>
            <w:r>
              <w:t>社会效益</w:t>
            </w:r>
          </w:p>
          <w:p>
            <w:r>
              <w:t>指标</w:t>
            </w:r>
          </w:p>
        </w:tc>
        <w:tc>
          <w:tcPr>
            <w:tcW w:w="1326" w:type="dxa"/>
            <w:gridSpan w:val="2"/>
          </w:tcPr>
          <w:p>
            <w:r>
              <w:t>法律援助工作顺利开展</w:t>
            </w:r>
          </w:p>
        </w:tc>
        <w:tc>
          <w:tcPr>
            <w:tcW w:w="1140" w:type="dxa"/>
            <w:gridSpan w:val="2"/>
          </w:tcPr>
          <w:p>
            <w:r>
              <w:t>≥95%</w:t>
            </w:r>
          </w:p>
        </w:tc>
        <w:tc>
          <w:tcPr>
            <w:tcW w:w="710" w:type="dxa"/>
          </w:tcPr>
          <w:p>
            <w:r>
              <w:t>≥95%</w:t>
            </w:r>
          </w:p>
        </w:tc>
        <w:tc>
          <w:tcPr>
            <w:tcW w:w="750" w:type="dxa"/>
            <w:gridSpan w:val="2"/>
          </w:tcPr>
          <w:p>
            <w:r>
              <w:t>30</w:t>
            </w:r>
          </w:p>
        </w:tc>
        <w:tc>
          <w:tcPr>
            <w:tcW w:w="750" w:type="dxa"/>
            <w:gridSpan w:val="2"/>
          </w:tcPr>
          <w:p>
            <w:r>
              <w:t>30</w:t>
            </w: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continue"/>
            <w:vAlign w:val="center"/>
          </w:tcPr>
          <w:p/>
        </w:tc>
        <w:tc>
          <w:tcPr>
            <w:tcW w:w="1139" w:type="dxa"/>
            <w:vAlign w:val="center"/>
          </w:tcPr>
          <w:p>
            <w:r>
              <w:t>生态效益</w:t>
            </w:r>
          </w:p>
          <w:p>
            <w:r>
              <w:t>指标</w:t>
            </w:r>
          </w:p>
        </w:tc>
        <w:tc>
          <w:tcPr>
            <w:tcW w:w="1326" w:type="dxa"/>
            <w:gridSpan w:val="2"/>
            <w:vAlign w:val="center"/>
          </w:tcPr>
          <w:p>
            <w:r>
              <w:t>：</w:t>
            </w:r>
          </w:p>
        </w:tc>
        <w:tc>
          <w:tcPr>
            <w:tcW w:w="1140" w:type="dxa"/>
            <w:gridSpan w:val="2"/>
            <w:vAlign w:val="center"/>
          </w:tcPr>
          <w:p/>
        </w:tc>
        <w:tc>
          <w:tcPr>
            <w:tcW w:w="710" w:type="dxa"/>
            <w:vAlign w:val="center"/>
          </w:tcPr>
          <w:p/>
        </w:tc>
        <w:tc>
          <w:tcPr>
            <w:tcW w:w="750" w:type="dxa"/>
            <w:gridSpan w:val="2"/>
            <w:vAlign w:val="center"/>
          </w:tcPr>
          <w:p/>
        </w:tc>
        <w:tc>
          <w:tcPr>
            <w:tcW w:w="750" w:type="dxa"/>
            <w:gridSpan w:val="2"/>
            <w:vAlign w:val="center"/>
          </w:tcP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Merge w:val="continue"/>
            <w:vAlign w:val="center"/>
          </w:tcPr>
          <w:p/>
        </w:tc>
        <w:tc>
          <w:tcPr>
            <w:tcW w:w="1139" w:type="dxa"/>
            <w:vAlign w:val="center"/>
          </w:tcPr>
          <w:p>
            <w:r>
              <w:t>可持续影响</w:t>
            </w:r>
          </w:p>
          <w:p>
            <w:r>
              <w:t>指标</w:t>
            </w:r>
          </w:p>
        </w:tc>
        <w:tc>
          <w:tcPr>
            <w:tcW w:w="1326" w:type="dxa"/>
            <w:gridSpan w:val="2"/>
            <w:vAlign w:val="center"/>
          </w:tcPr>
          <w:p/>
        </w:tc>
        <w:tc>
          <w:tcPr>
            <w:tcW w:w="1140" w:type="dxa"/>
            <w:gridSpan w:val="2"/>
            <w:vAlign w:val="center"/>
          </w:tcPr>
          <w:p/>
        </w:tc>
        <w:tc>
          <w:tcPr>
            <w:tcW w:w="710" w:type="dxa"/>
            <w:vAlign w:val="center"/>
          </w:tcPr>
          <w:p/>
        </w:tc>
        <w:tc>
          <w:tcPr>
            <w:tcW w:w="750" w:type="dxa"/>
            <w:gridSpan w:val="2"/>
            <w:vAlign w:val="center"/>
          </w:tcPr>
          <w:p/>
        </w:tc>
        <w:tc>
          <w:tcPr>
            <w:tcW w:w="750" w:type="dxa"/>
            <w:gridSpan w:val="2"/>
            <w:vAlign w:val="center"/>
          </w:tcP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25" w:hRule="atLeast"/>
        </w:trPr>
        <w:tc>
          <w:tcPr>
            <w:tcW w:w="469" w:type="dxa"/>
            <w:vMerge w:val="continue"/>
            <w:vAlign w:val="center"/>
          </w:tcPr>
          <w:p/>
        </w:tc>
        <w:tc>
          <w:tcPr>
            <w:tcW w:w="495" w:type="dxa"/>
            <w:vAlign w:val="center"/>
          </w:tcPr>
          <w:p>
            <w:r>
              <w:t>满意度</w:t>
            </w:r>
          </w:p>
          <w:p>
            <w:r>
              <w:t>指标</w:t>
            </w:r>
          </w:p>
        </w:tc>
        <w:tc>
          <w:tcPr>
            <w:tcW w:w="1139" w:type="dxa"/>
            <w:vAlign w:val="center"/>
          </w:tcPr>
          <w:p>
            <w:r>
              <w:t>服务对象满意度指标</w:t>
            </w:r>
          </w:p>
        </w:tc>
        <w:tc>
          <w:tcPr>
            <w:tcW w:w="1326" w:type="dxa"/>
            <w:gridSpan w:val="2"/>
          </w:tcPr>
          <w:p>
            <w:r>
              <w:rPr>
                <w:rFonts w:hint="eastAsia"/>
              </w:rPr>
              <w:t>指标</w:t>
            </w:r>
            <w:r>
              <w:t>1：服务对象满意率</w:t>
            </w:r>
          </w:p>
        </w:tc>
        <w:tc>
          <w:tcPr>
            <w:tcW w:w="1140" w:type="dxa"/>
            <w:gridSpan w:val="2"/>
          </w:tcPr>
          <w:p>
            <w:r>
              <w:t>≥95%</w:t>
            </w:r>
          </w:p>
        </w:tc>
        <w:tc>
          <w:tcPr>
            <w:tcW w:w="710" w:type="dxa"/>
          </w:tcPr>
          <w:p>
            <w:r>
              <w:t>≥95%</w:t>
            </w:r>
          </w:p>
        </w:tc>
        <w:tc>
          <w:tcPr>
            <w:tcW w:w="750" w:type="dxa"/>
            <w:gridSpan w:val="2"/>
          </w:tcPr>
          <w:p>
            <w:r>
              <w:t>10</w:t>
            </w:r>
          </w:p>
        </w:tc>
        <w:tc>
          <w:tcPr>
            <w:tcW w:w="750" w:type="dxa"/>
            <w:gridSpan w:val="2"/>
          </w:tcPr>
          <w:p>
            <w:r>
              <w:t>10</w:t>
            </w:r>
          </w:p>
        </w:tc>
        <w:tc>
          <w:tcPr>
            <w:tcW w:w="1475" w:type="dxa"/>
            <w:gridSpan w:val="3"/>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279" w:type="dxa"/>
            <w:gridSpan w:val="8"/>
            <w:vAlign w:val="center"/>
          </w:tcPr>
          <w:p>
            <w:r>
              <w:t>总分</w:t>
            </w:r>
          </w:p>
        </w:tc>
        <w:tc>
          <w:tcPr>
            <w:tcW w:w="750" w:type="dxa"/>
            <w:gridSpan w:val="2"/>
            <w:vAlign w:val="center"/>
          </w:tcPr>
          <w:p>
            <w:r>
              <w:t>100</w:t>
            </w:r>
          </w:p>
        </w:tc>
        <w:tc>
          <w:tcPr>
            <w:tcW w:w="750" w:type="dxa"/>
            <w:gridSpan w:val="2"/>
            <w:vAlign w:val="center"/>
          </w:tcPr>
          <w:p>
            <w:r>
              <w:rPr>
                <w:rFonts w:hint="eastAsia"/>
              </w:rPr>
              <w:t>100</w:t>
            </w:r>
          </w:p>
        </w:tc>
        <w:tc>
          <w:tcPr>
            <w:tcW w:w="1475" w:type="dxa"/>
            <w:gridSpan w:val="3"/>
            <w:vAlign w:val="center"/>
          </w:tcPr>
          <w:p/>
        </w:tc>
      </w:tr>
    </w:tbl>
    <w:p/>
    <w:tbl>
      <w:tblPr>
        <w:tblStyle w:val="7"/>
        <w:tblW w:w="8254"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 w:type="dxa"/>
          <w:bottom w:w="0" w:type="dxa"/>
          <w:right w:w="10" w:type="dxa"/>
        </w:tblCellMar>
      </w:tblPr>
      <w:tblGrid>
        <w:gridCol w:w="562"/>
        <w:gridCol w:w="590"/>
        <w:gridCol w:w="388"/>
        <w:gridCol w:w="858"/>
        <w:gridCol w:w="791"/>
        <w:gridCol w:w="1152"/>
        <w:gridCol w:w="603"/>
        <w:gridCol w:w="1045"/>
        <w:gridCol w:w="951"/>
        <w:gridCol w:w="131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870" w:hRule="atLeast"/>
        </w:trPr>
        <w:tc>
          <w:tcPr>
            <w:tcW w:w="8254" w:type="dxa"/>
            <w:gridSpan w:val="10"/>
            <w:vAlign w:val="center"/>
          </w:tcPr>
          <w:p>
            <w:pPr>
              <w:jc w:val="center"/>
              <w:rPr>
                <w:sz w:val="36"/>
                <w:szCs w:val="36"/>
              </w:rPr>
            </w:pPr>
            <w:r>
              <w:br w:type="textWrapping"/>
            </w:r>
            <w:r>
              <w:rPr>
                <w:sz w:val="36"/>
                <w:szCs w:val="36"/>
              </w:rPr>
              <w:t>部门（单位）整体绩效自评表</w:t>
            </w:r>
          </w:p>
          <w:p>
            <w:pPr>
              <w:jc w:val="center"/>
            </w:pPr>
            <w:r>
              <w:t xml:space="preserve">（ </w:t>
            </w:r>
            <w:r>
              <w:rPr>
                <w:rFonts w:hint="eastAsia"/>
              </w:rPr>
              <w:t>2019</w:t>
            </w:r>
            <w:r>
              <w:t xml:space="preserve"> 年度）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45" w:hRule="atLeast"/>
        </w:trPr>
        <w:tc>
          <w:tcPr>
            <w:tcW w:w="2398" w:type="dxa"/>
            <w:gridSpan w:val="4"/>
            <w:vAlign w:val="center"/>
          </w:tcPr>
          <w:p>
            <w:r>
              <w:t>部门（单位）名称</w:t>
            </w:r>
          </w:p>
        </w:tc>
        <w:tc>
          <w:tcPr>
            <w:tcW w:w="5856" w:type="dxa"/>
            <w:gridSpan w:val="6"/>
            <w:vAlign w:val="center"/>
          </w:tcPr>
          <w:p>
            <w:r>
              <w:rPr>
                <w:rFonts w:hint="eastAsia"/>
              </w:rPr>
              <w:t>永清县司法局</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90" w:hRule="atLeast"/>
        </w:trPr>
        <w:tc>
          <w:tcPr>
            <w:tcW w:w="562" w:type="dxa"/>
            <w:vMerge w:val="restart"/>
            <w:vAlign w:val="center"/>
          </w:tcPr>
          <w:p>
            <w:r>
              <w:t>年度主要任务</w:t>
            </w:r>
          </w:p>
        </w:tc>
        <w:tc>
          <w:tcPr>
            <w:tcW w:w="590" w:type="dxa"/>
            <w:vAlign w:val="center"/>
          </w:tcPr>
          <w:p>
            <w:pPr>
              <w:jc w:val="center"/>
            </w:pPr>
            <w:r>
              <w:t>重点工作任务名称</w:t>
            </w:r>
          </w:p>
        </w:tc>
        <w:tc>
          <w:tcPr>
            <w:tcW w:w="1246" w:type="dxa"/>
            <w:gridSpan w:val="2"/>
            <w:vAlign w:val="center"/>
          </w:tcPr>
          <w:p>
            <w:pPr>
              <w:jc w:val="center"/>
            </w:pPr>
            <w:r>
              <w:t>重点工作任务完成情况</w:t>
            </w:r>
          </w:p>
        </w:tc>
        <w:tc>
          <w:tcPr>
            <w:tcW w:w="791" w:type="dxa"/>
            <w:vAlign w:val="center"/>
          </w:tcPr>
          <w:p>
            <w:pPr>
              <w:jc w:val="center"/>
            </w:pPr>
            <w:r>
              <w:t>拟对应安排的重点项目</w:t>
            </w:r>
          </w:p>
        </w:tc>
        <w:tc>
          <w:tcPr>
            <w:tcW w:w="1152" w:type="dxa"/>
            <w:vAlign w:val="center"/>
          </w:tcPr>
          <w:p>
            <w:pPr>
              <w:jc w:val="center"/>
            </w:pPr>
            <w:r>
              <w:t>项目完成情况</w:t>
            </w:r>
          </w:p>
        </w:tc>
        <w:tc>
          <w:tcPr>
            <w:tcW w:w="603" w:type="dxa"/>
            <w:vAlign w:val="center"/>
          </w:tcPr>
          <w:p>
            <w:pPr>
              <w:jc w:val="center"/>
            </w:pPr>
            <w:r>
              <w:t>预算数</w:t>
            </w:r>
            <w:r>
              <w:br w:type="textWrapping"/>
            </w:r>
            <w:r>
              <w:t>（万元）</w:t>
            </w:r>
          </w:p>
        </w:tc>
        <w:tc>
          <w:tcPr>
            <w:tcW w:w="1045" w:type="dxa"/>
            <w:vAlign w:val="center"/>
          </w:tcPr>
          <w:p>
            <w:pPr>
              <w:jc w:val="center"/>
            </w:pPr>
            <w:r>
              <w:t>其中：财政拨款</w:t>
            </w:r>
          </w:p>
        </w:tc>
        <w:tc>
          <w:tcPr>
            <w:tcW w:w="951" w:type="dxa"/>
            <w:vAlign w:val="center"/>
          </w:tcPr>
          <w:p>
            <w:pPr>
              <w:jc w:val="center"/>
            </w:pPr>
            <w:r>
              <w:t>执行数</w:t>
            </w:r>
            <w:r>
              <w:br w:type="textWrapping"/>
            </w:r>
            <w:r>
              <w:t>（万元）</w:t>
            </w:r>
          </w:p>
        </w:tc>
        <w:tc>
          <w:tcPr>
            <w:tcW w:w="1314" w:type="dxa"/>
            <w:vAlign w:val="center"/>
          </w:tcPr>
          <w:p>
            <w:pPr>
              <w:jc w:val="center"/>
            </w:pPr>
            <w:r>
              <w:t>其中：财政拨款</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1140" w:hRule="atLeast"/>
        </w:trPr>
        <w:tc>
          <w:tcPr>
            <w:tcW w:w="562" w:type="dxa"/>
            <w:vMerge w:val="continue"/>
            <w:vAlign w:val="center"/>
          </w:tcPr>
          <w:p/>
        </w:tc>
        <w:tc>
          <w:tcPr>
            <w:tcW w:w="590" w:type="dxa"/>
            <w:vMerge w:val="restart"/>
            <w:vAlign w:val="center"/>
          </w:tcPr>
          <w:p>
            <w:pPr>
              <w:jc w:val="center"/>
            </w:pPr>
            <w:r>
              <w:rPr>
                <w:rFonts w:hint="eastAsia"/>
              </w:rPr>
              <w:t>维护安全稳定工作</w:t>
            </w:r>
          </w:p>
          <w:p>
            <w:pPr>
              <w:jc w:val="center"/>
            </w:pPr>
          </w:p>
        </w:tc>
        <w:tc>
          <w:tcPr>
            <w:tcW w:w="1246" w:type="dxa"/>
            <w:gridSpan w:val="2"/>
            <w:vMerge w:val="restart"/>
            <w:vAlign w:val="center"/>
          </w:tcPr>
          <w:p>
            <w:pPr>
              <w:jc w:val="center"/>
            </w:pPr>
            <w:r>
              <w:t>全力加强社区矫正安全管控，定期开展隐患排查整治，加强重点人员排查管控</w:t>
            </w:r>
          </w:p>
          <w:p>
            <w:pPr>
              <w:jc w:val="center"/>
            </w:pPr>
          </w:p>
        </w:tc>
        <w:tc>
          <w:tcPr>
            <w:tcW w:w="791" w:type="dxa"/>
            <w:vAlign w:val="center"/>
          </w:tcPr>
          <w:p>
            <w:pPr>
              <w:jc w:val="center"/>
            </w:pPr>
            <w:r>
              <w:t>社区矫正业务费</w:t>
            </w:r>
          </w:p>
        </w:tc>
        <w:tc>
          <w:tcPr>
            <w:tcW w:w="1152" w:type="dxa"/>
            <w:vAlign w:val="center"/>
          </w:tcPr>
          <w:p>
            <w:pPr>
              <w:jc w:val="center"/>
            </w:pPr>
            <w:r>
              <w:t>实现对社区矫正对象实时监控，实现特殊人群“零失控”、矛盾化解“零死角”的工作目标</w:t>
            </w:r>
          </w:p>
        </w:tc>
        <w:tc>
          <w:tcPr>
            <w:tcW w:w="603" w:type="dxa"/>
            <w:vAlign w:val="center"/>
          </w:tcPr>
          <w:p>
            <w:pPr>
              <w:jc w:val="center"/>
            </w:pPr>
            <w:r>
              <w:t>34.8</w:t>
            </w:r>
          </w:p>
        </w:tc>
        <w:tc>
          <w:tcPr>
            <w:tcW w:w="1045" w:type="dxa"/>
            <w:vAlign w:val="center"/>
          </w:tcPr>
          <w:p>
            <w:pPr>
              <w:jc w:val="center"/>
            </w:pPr>
            <w:r>
              <w:t>34.8</w:t>
            </w:r>
          </w:p>
        </w:tc>
        <w:tc>
          <w:tcPr>
            <w:tcW w:w="951" w:type="dxa"/>
            <w:vAlign w:val="center"/>
          </w:tcPr>
          <w:p>
            <w:pPr>
              <w:jc w:val="center"/>
            </w:pPr>
            <w:r>
              <w:t>30</w:t>
            </w:r>
          </w:p>
        </w:tc>
        <w:tc>
          <w:tcPr>
            <w:tcW w:w="1314" w:type="dxa"/>
            <w:vAlign w:val="center"/>
          </w:tcPr>
          <w:p>
            <w:pPr>
              <w:jc w:val="center"/>
            </w:pPr>
            <w:r>
              <w:t>30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30" w:hRule="atLeast"/>
        </w:trPr>
        <w:tc>
          <w:tcPr>
            <w:tcW w:w="562" w:type="dxa"/>
            <w:vMerge w:val="continue"/>
            <w:vAlign w:val="center"/>
          </w:tcPr>
          <w:p/>
        </w:tc>
        <w:tc>
          <w:tcPr>
            <w:tcW w:w="590" w:type="dxa"/>
            <w:vMerge w:val="continue"/>
            <w:vAlign w:val="center"/>
          </w:tcPr>
          <w:p>
            <w:pPr>
              <w:jc w:val="center"/>
            </w:pPr>
          </w:p>
        </w:tc>
        <w:tc>
          <w:tcPr>
            <w:tcW w:w="1246" w:type="dxa"/>
            <w:gridSpan w:val="2"/>
            <w:vMerge w:val="continue"/>
            <w:vAlign w:val="center"/>
          </w:tcPr>
          <w:p>
            <w:pPr>
              <w:jc w:val="center"/>
            </w:pPr>
          </w:p>
        </w:tc>
        <w:tc>
          <w:tcPr>
            <w:tcW w:w="791" w:type="dxa"/>
            <w:vAlign w:val="center"/>
          </w:tcPr>
          <w:p>
            <w:pPr>
              <w:jc w:val="center"/>
            </w:pPr>
            <w:r>
              <w:t>医患纠纷调委会办公经费</w:t>
            </w:r>
          </w:p>
        </w:tc>
        <w:tc>
          <w:tcPr>
            <w:tcW w:w="1152" w:type="dxa"/>
            <w:vAlign w:val="center"/>
          </w:tcPr>
          <w:p>
            <w:pPr>
              <w:jc w:val="center"/>
            </w:pPr>
            <w:r>
              <w:rPr>
                <w:rFonts w:hint="eastAsia"/>
                <w:lang w:eastAsia="zh-CN"/>
              </w:rPr>
              <w:t>深入</w:t>
            </w:r>
            <w:r>
              <w:t>开展“大排查、早调解、护稳定、”专项矛盾纠纷排查活动行动，全县调解案件1328件，调处成功1325件，韩村司法所被司法部授予“全国模范司法所”。</w:t>
            </w:r>
          </w:p>
        </w:tc>
        <w:tc>
          <w:tcPr>
            <w:tcW w:w="603" w:type="dxa"/>
            <w:vAlign w:val="center"/>
          </w:tcPr>
          <w:p>
            <w:pPr>
              <w:jc w:val="center"/>
            </w:pPr>
            <w:r>
              <w:t>10</w:t>
            </w:r>
          </w:p>
        </w:tc>
        <w:tc>
          <w:tcPr>
            <w:tcW w:w="1045" w:type="dxa"/>
            <w:vAlign w:val="center"/>
          </w:tcPr>
          <w:p>
            <w:pPr>
              <w:jc w:val="center"/>
            </w:pPr>
            <w:r>
              <w:t>10</w:t>
            </w:r>
          </w:p>
        </w:tc>
        <w:tc>
          <w:tcPr>
            <w:tcW w:w="951" w:type="dxa"/>
            <w:vAlign w:val="center"/>
          </w:tcPr>
          <w:p>
            <w:pPr>
              <w:jc w:val="center"/>
            </w:pPr>
            <w:r>
              <w:t>10</w:t>
            </w:r>
          </w:p>
        </w:tc>
        <w:tc>
          <w:tcPr>
            <w:tcW w:w="1314" w:type="dxa"/>
            <w:vAlign w:val="center"/>
          </w:tcPr>
          <w:p>
            <w:pPr>
              <w:jc w:val="center"/>
            </w:pPr>
            <w: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90" w:hRule="atLeast"/>
        </w:trPr>
        <w:tc>
          <w:tcPr>
            <w:tcW w:w="562" w:type="dxa"/>
            <w:vMerge w:val="continue"/>
            <w:vAlign w:val="center"/>
          </w:tcPr>
          <w:p/>
        </w:tc>
        <w:tc>
          <w:tcPr>
            <w:tcW w:w="590" w:type="dxa"/>
            <w:vAlign w:val="center"/>
          </w:tcPr>
          <w:p>
            <w:pPr>
              <w:jc w:val="center"/>
            </w:pPr>
            <w:r>
              <w:rPr>
                <w:rFonts w:hint="eastAsia"/>
              </w:rPr>
              <w:t>法治建设</w:t>
            </w:r>
          </w:p>
        </w:tc>
        <w:tc>
          <w:tcPr>
            <w:tcW w:w="1246" w:type="dxa"/>
            <w:gridSpan w:val="2"/>
            <w:vAlign w:val="center"/>
          </w:tcPr>
          <w:p>
            <w:pPr>
              <w:jc w:val="center"/>
            </w:pPr>
            <w:r>
              <w:t>充分发挥法律服务职能，依法治县工作顺利进行</w:t>
            </w:r>
          </w:p>
        </w:tc>
        <w:tc>
          <w:tcPr>
            <w:tcW w:w="791" w:type="dxa"/>
            <w:vAlign w:val="center"/>
          </w:tcPr>
          <w:p>
            <w:pPr>
              <w:jc w:val="center"/>
            </w:pPr>
            <w:r>
              <w:t>关于鞭炮库拆除资产评估费和聘请律师服务费</w:t>
            </w:r>
          </w:p>
        </w:tc>
        <w:tc>
          <w:tcPr>
            <w:tcW w:w="1152" w:type="dxa"/>
            <w:vAlign w:val="center"/>
          </w:tcPr>
          <w:p>
            <w:pPr>
              <w:jc w:val="center"/>
            </w:pPr>
            <w:r>
              <w:t>积极推进法治政府建设，着力推动政府立法，提高立法公众参与度；积极开展合法性审核，全年共对35件政府规范性文件、12件行政合同、23件政府专题会议进行了合法性审查、出具审查意见。</w:t>
            </w:r>
          </w:p>
        </w:tc>
        <w:tc>
          <w:tcPr>
            <w:tcW w:w="603" w:type="dxa"/>
            <w:vAlign w:val="center"/>
          </w:tcPr>
          <w:p>
            <w:pPr>
              <w:jc w:val="center"/>
            </w:pPr>
            <w:r>
              <w:t>44.63</w:t>
            </w:r>
          </w:p>
        </w:tc>
        <w:tc>
          <w:tcPr>
            <w:tcW w:w="1045" w:type="dxa"/>
            <w:vAlign w:val="center"/>
          </w:tcPr>
          <w:p>
            <w:pPr>
              <w:jc w:val="center"/>
            </w:pPr>
            <w:r>
              <w:t>44.63</w:t>
            </w:r>
          </w:p>
        </w:tc>
        <w:tc>
          <w:tcPr>
            <w:tcW w:w="951" w:type="dxa"/>
            <w:vAlign w:val="center"/>
          </w:tcPr>
          <w:p>
            <w:pPr>
              <w:jc w:val="center"/>
            </w:pPr>
            <w:r>
              <w:t>44.63</w:t>
            </w:r>
          </w:p>
        </w:tc>
        <w:tc>
          <w:tcPr>
            <w:tcW w:w="1314" w:type="dxa"/>
            <w:vAlign w:val="center"/>
          </w:tcPr>
          <w:p>
            <w:pPr>
              <w:jc w:val="center"/>
            </w:pPr>
            <w:r>
              <w:t>44.63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90" w:hRule="atLeast"/>
        </w:trPr>
        <w:tc>
          <w:tcPr>
            <w:tcW w:w="562" w:type="dxa"/>
            <w:vMerge w:val="continue"/>
            <w:vAlign w:val="center"/>
          </w:tcPr>
          <w:p/>
        </w:tc>
        <w:tc>
          <w:tcPr>
            <w:tcW w:w="590" w:type="dxa"/>
            <w:vAlign w:val="center"/>
          </w:tcPr>
          <w:p>
            <w:pPr>
              <w:jc w:val="center"/>
            </w:pPr>
            <w:r>
              <w:rPr>
                <w:rFonts w:hint="eastAsia"/>
              </w:rPr>
              <w:t>积极推进普法依法治理宣传，大力推进“七五”普法深入实施</w:t>
            </w:r>
          </w:p>
        </w:tc>
        <w:tc>
          <w:tcPr>
            <w:tcW w:w="1246" w:type="dxa"/>
            <w:gridSpan w:val="2"/>
            <w:vAlign w:val="center"/>
          </w:tcPr>
          <w:p>
            <w:pPr>
              <w:jc w:val="center"/>
            </w:pPr>
            <w:r>
              <w:rPr>
                <w:rFonts w:hint="eastAsia"/>
              </w:rPr>
              <w:t>深入学习习近平总书记全面依法治国理念，组织县处级领导干部专题研讨班；突出宪法学习组织发展讲座、法治报告会；抓好青少年法治宣传教育，普法依法治理工作与党委政府中心工作项结合</w:t>
            </w:r>
          </w:p>
        </w:tc>
        <w:tc>
          <w:tcPr>
            <w:tcW w:w="791" w:type="dxa"/>
            <w:vAlign w:val="center"/>
          </w:tcPr>
          <w:p>
            <w:pPr>
              <w:jc w:val="center"/>
            </w:pPr>
            <w:r>
              <w:rPr>
                <w:rFonts w:hint="eastAsia"/>
              </w:rPr>
              <w:t>普法宣传业务费</w:t>
            </w:r>
          </w:p>
        </w:tc>
        <w:tc>
          <w:tcPr>
            <w:tcW w:w="1152" w:type="dxa"/>
            <w:vAlign w:val="center"/>
          </w:tcPr>
          <w:p>
            <w:pPr>
              <w:jc w:val="center"/>
            </w:pPr>
            <w:r>
              <w:rPr>
                <w:rFonts w:hint="eastAsia"/>
              </w:rPr>
              <w:t>形成了部门分工、各司其职、齐抓共管的普法工作格局，开办普法宣传栏目，举办宣传活动，形成平面与立体有机结合，多渠道多元化的普法宣传阵地。王文兰被评为河北省“七五”普法中期先进集体和先进个人。</w:t>
            </w:r>
          </w:p>
        </w:tc>
        <w:tc>
          <w:tcPr>
            <w:tcW w:w="603" w:type="dxa"/>
            <w:vAlign w:val="center"/>
          </w:tcPr>
          <w:p>
            <w:pPr>
              <w:jc w:val="center"/>
            </w:pPr>
            <w:r>
              <w:t>5</w:t>
            </w:r>
          </w:p>
        </w:tc>
        <w:tc>
          <w:tcPr>
            <w:tcW w:w="1045" w:type="dxa"/>
            <w:vAlign w:val="center"/>
          </w:tcPr>
          <w:p>
            <w:pPr>
              <w:jc w:val="center"/>
            </w:pPr>
            <w:r>
              <w:t>5</w:t>
            </w:r>
          </w:p>
        </w:tc>
        <w:tc>
          <w:tcPr>
            <w:tcW w:w="951" w:type="dxa"/>
            <w:vAlign w:val="center"/>
          </w:tcPr>
          <w:p>
            <w:pPr>
              <w:jc w:val="center"/>
            </w:pPr>
            <w:r>
              <w:t>5</w:t>
            </w:r>
          </w:p>
        </w:tc>
        <w:tc>
          <w:tcPr>
            <w:tcW w:w="1314" w:type="dxa"/>
            <w:vAlign w:val="center"/>
          </w:tcPr>
          <w:p>
            <w:pPr>
              <w:jc w:val="center"/>
            </w:pPr>
            <w:r>
              <w:t>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90" w:hRule="atLeast"/>
        </w:trPr>
        <w:tc>
          <w:tcPr>
            <w:tcW w:w="562" w:type="dxa"/>
            <w:vMerge w:val="continue"/>
            <w:vAlign w:val="center"/>
          </w:tcPr>
          <w:p/>
        </w:tc>
        <w:tc>
          <w:tcPr>
            <w:tcW w:w="590" w:type="dxa"/>
            <w:vAlign w:val="center"/>
          </w:tcPr>
          <w:p>
            <w:pPr>
              <w:jc w:val="center"/>
            </w:pPr>
            <w:r>
              <w:rPr>
                <w:rFonts w:hint="eastAsia"/>
              </w:rPr>
              <w:t>法律服务质量提升</w:t>
            </w:r>
          </w:p>
        </w:tc>
        <w:tc>
          <w:tcPr>
            <w:tcW w:w="1246" w:type="dxa"/>
            <w:gridSpan w:val="2"/>
            <w:vAlign w:val="center"/>
          </w:tcPr>
          <w:p>
            <w:pPr>
              <w:jc w:val="center"/>
            </w:pPr>
            <w:r>
              <w:t>全县共办理法律援助案223件，解答法律咨询1900余人次。</w:t>
            </w:r>
          </w:p>
        </w:tc>
        <w:tc>
          <w:tcPr>
            <w:tcW w:w="791" w:type="dxa"/>
            <w:vAlign w:val="center"/>
          </w:tcPr>
          <w:p>
            <w:pPr>
              <w:jc w:val="center"/>
            </w:pPr>
            <w:r>
              <w:t>法律援助业务费</w:t>
            </w:r>
          </w:p>
        </w:tc>
        <w:tc>
          <w:tcPr>
            <w:tcW w:w="1152" w:type="dxa"/>
            <w:vAlign w:val="center"/>
          </w:tcPr>
          <w:p>
            <w:pPr>
              <w:jc w:val="center"/>
            </w:pPr>
            <w:r>
              <w:t>加强对全县法律援助工作的指导管理简化法律援助审批程序，积极维护弱势群体合法权益。积极开展刑事案件律师辩护全覆盖试点工作。法律援助中心主任沈冠红被推荐为“全国法律援助工作先进个人”</w:t>
            </w:r>
          </w:p>
        </w:tc>
        <w:tc>
          <w:tcPr>
            <w:tcW w:w="603" w:type="dxa"/>
            <w:vAlign w:val="center"/>
          </w:tcPr>
          <w:p>
            <w:pPr>
              <w:jc w:val="center"/>
            </w:pPr>
            <w:r>
              <w:t>3.6</w:t>
            </w:r>
          </w:p>
        </w:tc>
        <w:tc>
          <w:tcPr>
            <w:tcW w:w="1045" w:type="dxa"/>
            <w:vAlign w:val="center"/>
          </w:tcPr>
          <w:p>
            <w:pPr>
              <w:jc w:val="center"/>
            </w:pPr>
            <w:r>
              <w:t>3.6</w:t>
            </w:r>
          </w:p>
        </w:tc>
        <w:tc>
          <w:tcPr>
            <w:tcW w:w="951" w:type="dxa"/>
            <w:vAlign w:val="center"/>
          </w:tcPr>
          <w:p>
            <w:pPr>
              <w:jc w:val="center"/>
            </w:pPr>
            <w:r>
              <w:t>3.6</w:t>
            </w:r>
          </w:p>
        </w:tc>
        <w:tc>
          <w:tcPr>
            <w:tcW w:w="1314" w:type="dxa"/>
            <w:vAlign w:val="center"/>
          </w:tcPr>
          <w:p>
            <w:pPr>
              <w:jc w:val="center"/>
            </w:pPr>
            <w:r>
              <w:t>3.6</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90" w:hRule="atLeast"/>
        </w:trPr>
        <w:tc>
          <w:tcPr>
            <w:tcW w:w="562" w:type="dxa"/>
            <w:vMerge w:val="continue"/>
            <w:vAlign w:val="center"/>
          </w:tcPr>
          <w:p/>
        </w:tc>
        <w:tc>
          <w:tcPr>
            <w:tcW w:w="3779" w:type="dxa"/>
            <w:gridSpan w:val="5"/>
            <w:vAlign w:val="center"/>
          </w:tcPr>
          <w:p>
            <w:r>
              <w:t>金额合计</w:t>
            </w:r>
          </w:p>
        </w:tc>
        <w:tc>
          <w:tcPr>
            <w:tcW w:w="603" w:type="dxa"/>
            <w:vAlign w:val="center"/>
          </w:tcPr>
          <w:p>
            <w:r>
              <w:rPr>
                <w:rFonts w:hint="eastAsia"/>
              </w:rPr>
              <w:t>98.03</w:t>
            </w:r>
          </w:p>
        </w:tc>
        <w:tc>
          <w:tcPr>
            <w:tcW w:w="1045" w:type="dxa"/>
            <w:vAlign w:val="center"/>
          </w:tcPr>
          <w:p>
            <w:r>
              <w:rPr>
                <w:rFonts w:hint="eastAsia"/>
              </w:rPr>
              <w:t>98.03</w:t>
            </w:r>
          </w:p>
        </w:tc>
        <w:tc>
          <w:tcPr>
            <w:tcW w:w="951" w:type="dxa"/>
            <w:vAlign w:val="center"/>
          </w:tcPr>
          <w:p>
            <w:r>
              <w:rPr>
                <w:rFonts w:hint="eastAsia"/>
              </w:rPr>
              <w:t>93.23</w:t>
            </w:r>
          </w:p>
        </w:tc>
        <w:tc>
          <w:tcPr>
            <w:tcW w:w="1314" w:type="dxa"/>
            <w:vAlign w:val="center"/>
          </w:tcPr>
          <w:p>
            <w:r>
              <w:rPr>
                <w:rFonts w:hint="eastAsia"/>
              </w:rPr>
              <w:t>93.23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25" w:hRule="atLeast"/>
        </w:trPr>
        <w:tc>
          <w:tcPr>
            <w:tcW w:w="562" w:type="dxa"/>
            <w:vAlign w:val="center"/>
          </w:tcPr>
          <w:p>
            <w:r>
              <w:t>一级指标</w:t>
            </w:r>
          </w:p>
        </w:tc>
        <w:tc>
          <w:tcPr>
            <w:tcW w:w="978" w:type="dxa"/>
            <w:gridSpan w:val="2"/>
            <w:vAlign w:val="center"/>
          </w:tcPr>
          <w:p>
            <w:r>
              <w:t>二级指标</w:t>
            </w:r>
          </w:p>
        </w:tc>
        <w:tc>
          <w:tcPr>
            <w:tcW w:w="1649" w:type="dxa"/>
            <w:gridSpan w:val="2"/>
            <w:vAlign w:val="center"/>
          </w:tcPr>
          <w:p>
            <w:r>
              <w:t>三级指标</w:t>
            </w:r>
          </w:p>
        </w:tc>
        <w:tc>
          <w:tcPr>
            <w:tcW w:w="1152" w:type="dxa"/>
            <w:vAlign w:val="center"/>
          </w:tcPr>
          <w:p>
            <w:r>
              <w:t>目标值</w:t>
            </w:r>
          </w:p>
        </w:tc>
        <w:tc>
          <w:tcPr>
            <w:tcW w:w="1648" w:type="dxa"/>
            <w:gridSpan w:val="2"/>
            <w:vAlign w:val="center"/>
          </w:tcPr>
          <w:p>
            <w:r>
              <w:t>自评实际值</w:t>
            </w:r>
          </w:p>
        </w:tc>
        <w:tc>
          <w:tcPr>
            <w:tcW w:w="951" w:type="dxa"/>
            <w:vAlign w:val="center"/>
          </w:tcPr>
          <w:p>
            <w:r>
              <w:t>权重</w:t>
            </w:r>
          </w:p>
        </w:tc>
        <w:tc>
          <w:tcPr>
            <w:tcW w:w="1314" w:type="dxa"/>
            <w:vAlign w:val="center"/>
          </w:tcPr>
          <w:p>
            <w:r>
              <w:t>自评得分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restart"/>
            <w:vAlign w:val="center"/>
          </w:tcPr>
          <w:p>
            <w:r>
              <w:t>部门管理（40分）</w:t>
            </w:r>
          </w:p>
        </w:tc>
        <w:tc>
          <w:tcPr>
            <w:tcW w:w="978" w:type="dxa"/>
            <w:gridSpan w:val="2"/>
            <w:vMerge w:val="restart"/>
            <w:vAlign w:val="center"/>
          </w:tcPr>
          <w:p>
            <w:r>
              <w:t>资金</w:t>
            </w:r>
            <w:r>
              <w:br w:type="textWrapping"/>
            </w:r>
            <w:r>
              <w:t>投入</w:t>
            </w:r>
          </w:p>
        </w:tc>
        <w:tc>
          <w:tcPr>
            <w:tcW w:w="1649" w:type="dxa"/>
            <w:gridSpan w:val="2"/>
            <w:vAlign w:val="center"/>
          </w:tcPr>
          <w:p>
            <w:r>
              <w:t xml:space="preserve">预算完成率 </w:t>
            </w:r>
          </w:p>
        </w:tc>
        <w:tc>
          <w:tcPr>
            <w:tcW w:w="1152" w:type="dxa"/>
            <w:vAlign w:val="center"/>
          </w:tcPr>
          <w:p>
            <w:r>
              <w:t>≥95%</w:t>
            </w:r>
          </w:p>
        </w:tc>
        <w:tc>
          <w:tcPr>
            <w:tcW w:w="1648" w:type="dxa"/>
            <w:gridSpan w:val="2"/>
            <w:vAlign w:val="center"/>
          </w:tcPr>
          <w:p>
            <w:r>
              <w:rPr>
                <w:rFonts w:hint="eastAsia"/>
              </w:rPr>
              <w:t>95%</w:t>
            </w:r>
          </w:p>
        </w:tc>
        <w:tc>
          <w:tcPr>
            <w:tcW w:w="951" w:type="dxa"/>
            <w:vAlign w:val="center"/>
          </w:tcPr>
          <w:p>
            <w:r>
              <w:t>4</w:t>
            </w:r>
          </w:p>
        </w:tc>
        <w:tc>
          <w:tcPr>
            <w:tcW w:w="1314" w:type="dxa"/>
            <w:vAlign w:val="center"/>
          </w:tcPr>
          <w:p>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tc>
        <w:tc>
          <w:tcPr>
            <w:tcW w:w="978" w:type="dxa"/>
            <w:gridSpan w:val="2"/>
            <w:vMerge w:val="continue"/>
            <w:vAlign w:val="center"/>
          </w:tcPr>
          <w:p/>
        </w:tc>
        <w:tc>
          <w:tcPr>
            <w:tcW w:w="1649" w:type="dxa"/>
            <w:gridSpan w:val="2"/>
            <w:vAlign w:val="center"/>
          </w:tcPr>
          <w:p>
            <w:r>
              <w:t>预算调整率</w:t>
            </w:r>
          </w:p>
        </w:tc>
        <w:tc>
          <w:tcPr>
            <w:tcW w:w="1152" w:type="dxa"/>
            <w:vAlign w:val="center"/>
          </w:tcPr>
          <w:p>
            <w:r>
              <w:t>0</w:t>
            </w:r>
          </w:p>
        </w:tc>
        <w:tc>
          <w:tcPr>
            <w:tcW w:w="1648" w:type="dxa"/>
            <w:gridSpan w:val="2"/>
            <w:vAlign w:val="center"/>
          </w:tcPr>
          <w:p>
            <w:r>
              <w:rPr>
                <w:rFonts w:hint="eastAsia"/>
              </w:rPr>
              <w:t>24%</w:t>
            </w:r>
          </w:p>
        </w:tc>
        <w:tc>
          <w:tcPr>
            <w:tcW w:w="951" w:type="dxa"/>
            <w:vAlign w:val="center"/>
          </w:tcPr>
          <w:p>
            <w:r>
              <w:t>4</w:t>
            </w:r>
          </w:p>
        </w:tc>
        <w:tc>
          <w:tcPr>
            <w:tcW w:w="1314" w:type="dxa"/>
            <w:vAlign w:val="center"/>
          </w:tcPr>
          <w:p>
            <w:r>
              <w:rPr>
                <w:rFonts w:hint="eastAsia"/>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90" w:hRule="atLeast"/>
        </w:trPr>
        <w:tc>
          <w:tcPr>
            <w:tcW w:w="562" w:type="dxa"/>
            <w:vMerge w:val="continue"/>
            <w:vAlign w:val="center"/>
          </w:tcPr>
          <w:p/>
        </w:tc>
        <w:tc>
          <w:tcPr>
            <w:tcW w:w="978" w:type="dxa"/>
            <w:gridSpan w:val="2"/>
            <w:vMerge w:val="continue"/>
            <w:vAlign w:val="center"/>
          </w:tcPr>
          <w:p/>
        </w:tc>
        <w:tc>
          <w:tcPr>
            <w:tcW w:w="1649" w:type="dxa"/>
            <w:gridSpan w:val="2"/>
            <w:vAlign w:val="center"/>
          </w:tcPr>
          <w:p>
            <w:r>
              <w:t>支出进度率</w:t>
            </w:r>
          </w:p>
        </w:tc>
        <w:tc>
          <w:tcPr>
            <w:tcW w:w="1152" w:type="dxa"/>
            <w:vAlign w:val="center"/>
          </w:tcPr>
          <w:p>
            <w:r>
              <w:t>≥100%</w:t>
            </w:r>
          </w:p>
        </w:tc>
        <w:tc>
          <w:tcPr>
            <w:tcW w:w="1648" w:type="dxa"/>
            <w:gridSpan w:val="2"/>
            <w:vAlign w:val="center"/>
          </w:tcPr>
          <w:p/>
        </w:tc>
        <w:tc>
          <w:tcPr>
            <w:tcW w:w="951" w:type="dxa"/>
            <w:vAlign w:val="center"/>
          </w:tcPr>
          <w:p>
            <w:r>
              <w:t>4</w:t>
            </w:r>
          </w:p>
        </w:tc>
        <w:tc>
          <w:tcPr>
            <w:tcW w:w="1314" w:type="dxa"/>
            <w:vAlign w:val="center"/>
          </w:tcPr>
          <w:p>
            <w:r>
              <w:rPr>
                <w:rFonts w:hint="eastAsia"/>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270" w:hRule="atLeast"/>
        </w:trPr>
        <w:tc>
          <w:tcPr>
            <w:tcW w:w="562" w:type="dxa"/>
            <w:vMerge w:val="continue"/>
            <w:vAlign w:val="center"/>
          </w:tcPr>
          <w:p/>
        </w:tc>
        <w:tc>
          <w:tcPr>
            <w:tcW w:w="978" w:type="dxa"/>
            <w:gridSpan w:val="2"/>
            <w:vMerge w:val="continue"/>
            <w:vAlign w:val="center"/>
          </w:tcPr>
          <w:p/>
        </w:tc>
        <w:tc>
          <w:tcPr>
            <w:tcW w:w="1649" w:type="dxa"/>
            <w:gridSpan w:val="2"/>
            <w:vAlign w:val="center"/>
          </w:tcPr>
          <w:p>
            <w:r>
              <w:t>“三公经费”变动率</w:t>
            </w:r>
          </w:p>
        </w:tc>
        <w:tc>
          <w:tcPr>
            <w:tcW w:w="1152" w:type="dxa"/>
            <w:vAlign w:val="center"/>
          </w:tcPr>
          <w:p>
            <w:r>
              <w:t>≤0　</w:t>
            </w:r>
          </w:p>
        </w:tc>
        <w:tc>
          <w:tcPr>
            <w:tcW w:w="1648" w:type="dxa"/>
            <w:gridSpan w:val="2"/>
            <w:vAlign w:val="center"/>
          </w:tcPr>
          <w:p>
            <w:r>
              <w:rPr>
                <w:rFonts w:hint="eastAsia"/>
              </w:rPr>
              <w:t>-76.98%</w:t>
            </w:r>
          </w:p>
        </w:tc>
        <w:tc>
          <w:tcPr>
            <w:tcW w:w="951" w:type="dxa"/>
            <w:vAlign w:val="center"/>
          </w:tcPr>
          <w:p>
            <w:r>
              <w:t>4</w:t>
            </w:r>
          </w:p>
        </w:tc>
        <w:tc>
          <w:tcPr>
            <w:tcW w:w="1314" w:type="dxa"/>
            <w:vAlign w:val="center"/>
          </w:tcPr>
          <w:p>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60" w:hRule="atLeast"/>
        </w:trPr>
        <w:tc>
          <w:tcPr>
            <w:tcW w:w="562" w:type="dxa"/>
            <w:vMerge w:val="continue"/>
            <w:vAlign w:val="center"/>
          </w:tcPr>
          <w:p/>
        </w:tc>
        <w:tc>
          <w:tcPr>
            <w:tcW w:w="978" w:type="dxa"/>
            <w:gridSpan w:val="2"/>
            <w:vMerge w:val="continue"/>
            <w:vAlign w:val="center"/>
          </w:tcPr>
          <w:p/>
        </w:tc>
        <w:tc>
          <w:tcPr>
            <w:tcW w:w="1649" w:type="dxa"/>
            <w:gridSpan w:val="2"/>
            <w:vAlign w:val="center"/>
          </w:tcPr>
          <w:p>
            <w:r>
              <w:t>结转结余变动率</w:t>
            </w:r>
          </w:p>
        </w:tc>
        <w:tc>
          <w:tcPr>
            <w:tcW w:w="1152" w:type="dxa"/>
            <w:vAlign w:val="center"/>
          </w:tcPr>
          <w:p>
            <w:r>
              <w:t>≤0　</w:t>
            </w:r>
          </w:p>
        </w:tc>
        <w:tc>
          <w:tcPr>
            <w:tcW w:w="1648" w:type="dxa"/>
            <w:gridSpan w:val="2"/>
            <w:vAlign w:val="center"/>
          </w:tcPr>
          <w:p>
            <w:r>
              <w:rPr>
                <w:rFonts w:hint="eastAsia"/>
              </w:rPr>
              <w:t>7%</w:t>
            </w:r>
          </w:p>
        </w:tc>
        <w:tc>
          <w:tcPr>
            <w:tcW w:w="951" w:type="dxa"/>
            <w:vAlign w:val="center"/>
          </w:tcPr>
          <w:p>
            <w:r>
              <w:t>4</w:t>
            </w:r>
          </w:p>
        </w:tc>
        <w:tc>
          <w:tcPr>
            <w:tcW w:w="1314" w:type="dxa"/>
            <w:vAlign w:val="center"/>
          </w:tcPr>
          <w:p>
            <w:r>
              <w:rPr>
                <w:rFonts w:hint="eastAsia"/>
              </w:rPr>
              <w:t>1.2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continue"/>
            <w:vAlign w:val="center"/>
          </w:tcPr>
          <w:p/>
        </w:tc>
        <w:tc>
          <w:tcPr>
            <w:tcW w:w="978" w:type="dxa"/>
            <w:gridSpan w:val="2"/>
            <w:vAlign w:val="center"/>
          </w:tcPr>
          <w:p>
            <w:r>
              <w:t>财务管理</w:t>
            </w:r>
          </w:p>
        </w:tc>
        <w:tc>
          <w:tcPr>
            <w:tcW w:w="1649" w:type="dxa"/>
            <w:gridSpan w:val="2"/>
            <w:vAlign w:val="center"/>
          </w:tcPr>
          <w:p>
            <w:r>
              <w:t>问题资金占比</w:t>
            </w:r>
          </w:p>
        </w:tc>
        <w:tc>
          <w:tcPr>
            <w:tcW w:w="1152" w:type="dxa"/>
            <w:vAlign w:val="center"/>
          </w:tcPr>
          <w:p>
            <w:r>
              <w:t>0</w:t>
            </w:r>
          </w:p>
        </w:tc>
        <w:tc>
          <w:tcPr>
            <w:tcW w:w="1648" w:type="dxa"/>
            <w:gridSpan w:val="2"/>
            <w:vAlign w:val="center"/>
          </w:tcPr>
          <w:p>
            <w:r>
              <w:rPr>
                <w:rFonts w:hint="eastAsia"/>
              </w:rPr>
              <w:t>0</w:t>
            </w:r>
          </w:p>
        </w:tc>
        <w:tc>
          <w:tcPr>
            <w:tcW w:w="951" w:type="dxa"/>
            <w:vAlign w:val="center"/>
          </w:tcPr>
          <w:p>
            <w:r>
              <w:t>4</w:t>
            </w:r>
          </w:p>
        </w:tc>
        <w:tc>
          <w:tcPr>
            <w:tcW w:w="1314" w:type="dxa"/>
            <w:vAlign w:val="center"/>
          </w:tcPr>
          <w:p>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tc>
        <w:tc>
          <w:tcPr>
            <w:tcW w:w="978" w:type="dxa"/>
            <w:gridSpan w:val="2"/>
            <w:vAlign w:val="center"/>
          </w:tcPr>
          <w:p>
            <w:r>
              <w:t>采购管理</w:t>
            </w:r>
          </w:p>
        </w:tc>
        <w:tc>
          <w:tcPr>
            <w:tcW w:w="1649" w:type="dxa"/>
            <w:gridSpan w:val="2"/>
            <w:vAlign w:val="center"/>
          </w:tcPr>
          <w:p>
            <w:r>
              <w:t>政府采购执行率</w:t>
            </w:r>
          </w:p>
        </w:tc>
        <w:tc>
          <w:tcPr>
            <w:tcW w:w="1152" w:type="dxa"/>
            <w:vAlign w:val="center"/>
          </w:tcPr>
          <w:p>
            <w:r>
              <w:t>≥95%</w:t>
            </w:r>
          </w:p>
        </w:tc>
        <w:tc>
          <w:tcPr>
            <w:tcW w:w="1648" w:type="dxa"/>
            <w:gridSpan w:val="2"/>
            <w:vAlign w:val="center"/>
          </w:tcPr>
          <w:p>
            <w:r>
              <w:rPr>
                <w:rFonts w:hint="eastAsia"/>
              </w:rPr>
              <w:t>无政府采购</w:t>
            </w:r>
          </w:p>
        </w:tc>
        <w:tc>
          <w:tcPr>
            <w:tcW w:w="951" w:type="dxa"/>
            <w:vAlign w:val="center"/>
          </w:tcPr>
          <w:p>
            <w:r>
              <w:t>3</w:t>
            </w:r>
          </w:p>
        </w:tc>
        <w:tc>
          <w:tcPr>
            <w:tcW w:w="1314" w:type="dxa"/>
            <w:vAlign w:val="center"/>
          </w:tcPr>
          <w:p>
            <w:r>
              <w:rPr>
                <w:rFonts w:hint="eastAsia"/>
              </w:rPr>
              <w:t>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20" w:hRule="atLeast"/>
        </w:trPr>
        <w:tc>
          <w:tcPr>
            <w:tcW w:w="562" w:type="dxa"/>
            <w:vMerge w:val="continue"/>
            <w:vAlign w:val="center"/>
          </w:tcPr>
          <w:p/>
        </w:tc>
        <w:tc>
          <w:tcPr>
            <w:tcW w:w="978" w:type="dxa"/>
            <w:gridSpan w:val="2"/>
            <w:vAlign w:val="center"/>
          </w:tcPr>
          <w:p>
            <w:r>
              <w:t>资产管理</w:t>
            </w:r>
          </w:p>
        </w:tc>
        <w:tc>
          <w:tcPr>
            <w:tcW w:w="1649" w:type="dxa"/>
            <w:gridSpan w:val="2"/>
            <w:vAlign w:val="center"/>
          </w:tcPr>
          <w:p>
            <w:r>
              <w:t>资产管理规范性</w:t>
            </w:r>
          </w:p>
        </w:tc>
        <w:tc>
          <w:tcPr>
            <w:tcW w:w="1152" w:type="dxa"/>
            <w:vAlign w:val="center"/>
          </w:tcPr>
          <w:p>
            <w:r>
              <w:t>规范　</w:t>
            </w:r>
          </w:p>
        </w:tc>
        <w:tc>
          <w:tcPr>
            <w:tcW w:w="1648" w:type="dxa"/>
            <w:gridSpan w:val="2"/>
            <w:vAlign w:val="center"/>
          </w:tcPr>
          <w:p>
            <w:r>
              <w:rPr>
                <w:rFonts w:hint="eastAsia"/>
              </w:rPr>
              <w:t>规范</w:t>
            </w:r>
          </w:p>
        </w:tc>
        <w:tc>
          <w:tcPr>
            <w:tcW w:w="951" w:type="dxa"/>
            <w:vAlign w:val="center"/>
          </w:tcPr>
          <w:p>
            <w:r>
              <w:t>4</w:t>
            </w:r>
          </w:p>
        </w:tc>
        <w:tc>
          <w:tcPr>
            <w:tcW w:w="1314" w:type="dxa"/>
            <w:vAlign w:val="center"/>
          </w:tcPr>
          <w:p>
            <w:r>
              <w:rPr>
                <w:rFonts w:hint="eastAsia"/>
              </w:rPr>
              <w:t>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65" w:hRule="atLeast"/>
        </w:trPr>
        <w:tc>
          <w:tcPr>
            <w:tcW w:w="562" w:type="dxa"/>
            <w:vMerge w:val="continue"/>
            <w:vAlign w:val="center"/>
          </w:tcPr>
          <w:p/>
        </w:tc>
        <w:tc>
          <w:tcPr>
            <w:tcW w:w="978" w:type="dxa"/>
            <w:gridSpan w:val="2"/>
            <w:vAlign w:val="center"/>
          </w:tcPr>
          <w:p>
            <w:r>
              <w:t>人员管理</w:t>
            </w:r>
          </w:p>
        </w:tc>
        <w:tc>
          <w:tcPr>
            <w:tcW w:w="1649" w:type="dxa"/>
            <w:gridSpan w:val="2"/>
            <w:vAlign w:val="center"/>
          </w:tcPr>
          <w:p>
            <w:r>
              <w:t>在职人员控制率</w:t>
            </w:r>
          </w:p>
        </w:tc>
        <w:tc>
          <w:tcPr>
            <w:tcW w:w="1152" w:type="dxa"/>
            <w:vAlign w:val="center"/>
          </w:tcPr>
          <w:p>
            <w:r>
              <w:t>≤100%</w:t>
            </w:r>
          </w:p>
        </w:tc>
        <w:tc>
          <w:tcPr>
            <w:tcW w:w="1648" w:type="dxa"/>
            <w:gridSpan w:val="2"/>
            <w:vAlign w:val="center"/>
          </w:tcPr>
          <w:p>
            <w:r>
              <w:rPr>
                <w:rFonts w:hint="eastAsia"/>
              </w:rPr>
              <w:t>107%</w:t>
            </w:r>
          </w:p>
        </w:tc>
        <w:tc>
          <w:tcPr>
            <w:tcW w:w="951" w:type="dxa"/>
            <w:vAlign w:val="center"/>
          </w:tcPr>
          <w:p>
            <w:r>
              <w:t>1</w:t>
            </w:r>
          </w:p>
        </w:tc>
        <w:tc>
          <w:tcPr>
            <w:tcW w:w="1314" w:type="dxa"/>
            <w:vAlign w:val="center"/>
          </w:tcPr>
          <w:p>
            <w:r>
              <w:rPr>
                <w:rFonts w:hint="eastAsia"/>
              </w:rPr>
              <w:t>0.3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tc>
        <w:tc>
          <w:tcPr>
            <w:tcW w:w="978" w:type="dxa"/>
            <w:gridSpan w:val="2"/>
            <w:vMerge w:val="restart"/>
            <w:vAlign w:val="center"/>
          </w:tcPr>
          <w:p>
            <w:r>
              <w:t>信息管理</w:t>
            </w:r>
          </w:p>
        </w:tc>
        <w:tc>
          <w:tcPr>
            <w:tcW w:w="1649" w:type="dxa"/>
            <w:gridSpan w:val="2"/>
            <w:vAlign w:val="center"/>
          </w:tcPr>
          <w:p>
            <w:r>
              <w:t>预决算信息公开性</w:t>
            </w:r>
          </w:p>
        </w:tc>
        <w:tc>
          <w:tcPr>
            <w:tcW w:w="1152" w:type="dxa"/>
            <w:vAlign w:val="center"/>
          </w:tcPr>
          <w:p>
            <w:r>
              <w:t>按规定公开</w:t>
            </w:r>
          </w:p>
        </w:tc>
        <w:tc>
          <w:tcPr>
            <w:tcW w:w="1648" w:type="dxa"/>
            <w:gridSpan w:val="2"/>
            <w:vAlign w:val="center"/>
          </w:tcPr>
          <w:p>
            <w:r>
              <w:rPr>
                <w:rFonts w:hint="eastAsia"/>
              </w:rPr>
              <w:t>按规定公开</w:t>
            </w:r>
          </w:p>
        </w:tc>
        <w:tc>
          <w:tcPr>
            <w:tcW w:w="951" w:type="dxa"/>
            <w:vAlign w:val="center"/>
          </w:tcPr>
          <w:p>
            <w:r>
              <w:t>2</w:t>
            </w: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35" w:hRule="atLeast"/>
        </w:trPr>
        <w:tc>
          <w:tcPr>
            <w:tcW w:w="562" w:type="dxa"/>
            <w:vMerge w:val="continue"/>
            <w:vAlign w:val="center"/>
          </w:tcPr>
          <w:p/>
        </w:tc>
        <w:tc>
          <w:tcPr>
            <w:tcW w:w="978" w:type="dxa"/>
            <w:gridSpan w:val="2"/>
            <w:vMerge w:val="continue"/>
            <w:vAlign w:val="center"/>
          </w:tcPr>
          <w:p/>
        </w:tc>
        <w:tc>
          <w:tcPr>
            <w:tcW w:w="1649" w:type="dxa"/>
            <w:gridSpan w:val="2"/>
            <w:vAlign w:val="center"/>
          </w:tcPr>
          <w:p>
            <w:r>
              <w:t>绩效信息公开性</w:t>
            </w:r>
          </w:p>
        </w:tc>
        <w:tc>
          <w:tcPr>
            <w:tcW w:w="1152" w:type="dxa"/>
            <w:vAlign w:val="center"/>
          </w:tcPr>
          <w:p>
            <w:r>
              <w:t>按规定公开</w:t>
            </w:r>
          </w:p>
        </w:tc>
        <w:tc>
          <w:tcPr>
            <w:tcW w:w="1648" w:type="dxa"/>
            <w:gridSpan w:val="2"/>
            <w:vAlign w:val="center"/>
          </w:tcPr>
          <w:p>
            <w:r>
              <w:rPr>
                <w:rFonts w:hint="eastAsia"/>
              </w:rPr>
              <w:t>公开</w:t>
            </w:r>
          </w:p>
        </w:tc>
        <w:tc>
          <w:tcPr>
            <w:tcW w:w="951" w:type="dxa"/>
            <w:vAlign w:val="center"/>
          </w:tcPr>
          <w:p>
            <w:r>
              <w:t>2</w:t>
            </w: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90" w:hRule="atLeast"/>
        </w:trPr>
        <w:tc>
          <w:tcPr>
            <w:tcW w:w="562" w:type="dxa"/>
            <w:vMerge w:val="continue"/>
            <w:vAlign w:val="center"/>
          </w:tcPr>
          <w:p/>
        </w:tc>
        <w:tc>
          <w:tcPr>
            <w:tcW w:w="978" w:type="dxa"/>
            <w:gridSpan w:val="2"/>
            <w:vMerge w:val="restart"/>
            <w:vAlign w:val="center"/>
          </w:tcPr>
          <w:p>
            <w:r>
              <w:t>绩效管理</w:t>
            </w:r>
          </w:p>
        </w:tc>
        <w:tc>
          <w:tcPr>
            <w:tcW w:w="1649" w:type="dxa"/>
            <w:gridSpan w:val="2"/>
            <w:vAlign w:val="center"/>
          </w:tcPr>
          <w:p>
            <w:r>
              <w:t>绩效目标审核通过率</w:t>
            </w:r>
          </w:p>
        </w:tc>
        <w:tc>
          <w:tcPr>
            <w:tcW w:w="1152" w:type="dxa"/>
            <w:vAlign w:val="center"/>
          </w:tcPr>
          <w:p>
            <w:r>
              <w:t>100%</w:t>
            </w:r>
          </w:p>
        </w:tc>
        <w:tc>
          <w:tcPr>
            <w:tcW w:w="1648" w:type="dxa"/>
            <w:gridSpan w:val="2"/>
            <w:vAlign w:val="center"/>
          </w:tcPr>
          <w:p>
            <w:r>
              <w:rPr>
                <w:rFonts w:hint="eastAsia"/>
              </w:rPr>
              <w:t>100%</w:t>
            </w:r>
          </w:p>
        </w:tc>
        <w:tc>
          <w:tcPr>
            <w:tcW w:w="951" w:type="dxa"/>
            <w:vAlign w:val="center"/>
          </w:tcPr>
          <w:p>
            <w:r>
              <w:t>2</w:t>
            </w: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tc>
        <w:tc>
          <w:tcPr>
            <w:tcW w:w="978" w:type="dxa"/>
            <w:gridSpan w:val="2"/>
            <w:vMerge w:val="continue"/>
            <w:vAlign w:val="center"/>
          </w:tcPr>
          <w:p/>
        </w:tc>
        <w:tc>
          <w:tcPr>
            <w:tcW w:w="1649" w:type="dxa"/>
            <w:gridSpan w:val="2"/>
            <w:vAlign w:val="center"/>
          </w:tcPr>
          <w:p>
            <w:r>
              <w:t>绩效自评覆盖率</w:t>
            </w:r>
          </w:p>
        </w:tc>
        <w:tc>
          <w:tcPr>
            <w:tcW w:w="1152" w:type="dxa"/>
            <w:vAlign w:val="center"/>
          </w:tcPr>
          <w:p>
            <w:r>
              <w:t>100%</w:t>
            </w:r>
          </w:p>
        </w:tc>
        <w:tc>
          <w:tcPr>
            <w:tcW w:w="1648" w:type="dxa"/>
            <w:gridSpan w:val="2"/>
            <w:vAlign w:val="center"/>
          </w:tcPr>
          <w:p>
            <w:r>
              <w:rPr>
                <w:rFonts w:hint="eastAsia"/>
              </w:rPr>
              <w:t>100%</w:t>
            </w:r>
          </w:p>
        </w:tc>
        <w:tc>
          <w:tcPr>
            <w:tcW w:w="951" w:type="dxa"/>
            <w:vAlign w:val="center"/>
          </w:tcPr>
          <w:p>
            <w:r>
              <w:t>2</w:t>
            </w: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05" w:hRule="atLeast"/>
        </w:trPr>
        <w:tc>
          <w:tcPr>
            <w:tcW w:w="562" w:type="dxa"/>
            <w:vMerge w:val="restart"/>
            <w:vAlign w:val="center"/>
          </w:tcPr>
          <w:p>
            <w:r>
              <w:t>部门产出（40分）</w:t>
            </w:r>
          </w:p>
        </w:tc>
        <w:tc>
          <w:tcPr>
            <w:tcW w:w="978" w:type="dxa"/>
            <w:gridSpan w:val="2"/>
            <w:vAlign w:val="center"/>
          </w:tcPr>
          <w:p>
            <w:r>
              <w:t>数 量</w:t>
            </w:r>
          </w:p>
        </w:tc>
        <w:tc>
          <w:tcPr>
            <w:tcW w:w="1649" w:type="dxa"/>
            <w:gridSpan w:val="2"/>
            <w:vAlign w:val="center"/>
          </w:tcPr>
          <w:p>
            <w:r>
              <w:t>重点工作实际完成率</w:t>
            </w:r>
          </w:p>
        </w:tc>
        <w:tc>
          <w:tcPr>
            <w:tcW w:w="1152" w:type="dxa"/>
            <w:vAlign w:val="center"/>
          </w:tcPr>
          <w:p>
            <w:r>
              <w:t>100%</w:t>
            </w:r>
          </w:p>
        </w:tc>
        <w:tc>
          <w:tcPr>
            <w:tcW w:w="1648" w:type="dxa"/>
            <w:gridSpan w:val="2"/>
            <w:vAlign w:val="center"/>
          </w:tcPr>
          <w:p>
            <w:r>
              <w:rPr>
                <w:rFonts w:hint="eastAsia"/>
              </w:rPr>
              <w:t>100%</w:t>
            </w:r>
          </w:p>
        </w:tc>
        <w:tc>
          <w:tcPr>
            <w:tcW w:w="951" w:type="dxa"/>
            <w:vAlign w:val="center"/>
          </w:tcPr>
          <w:p>
            <w:r>
              <w:t>15</w:t>
            </w:r>
          </w:p>
        </w:tc>
        <w:tc>
          <w:tcPr>
            <w:tcW w:w="1314" w:type="dxa"/>
            <w:vAlign w:val="center"/>
          </w:tcPr>
          <w:p>
            <w:r>
              <w:rPr>
                <w:rFonts w:hint="eastAsia"/>
              </w:rPr>
              <w:t>15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tc>
        <w:tc>
          <w:tcPr>
            <w:tcW w:w="978" w:type="dxa"/>
            <w:gridSpan w:val="2"/>
            <w:vAlign w:val="center"/>
          </w:tcPr>
          <w:p>
            <w:r>
              <w:t>质 量</w:t>
            </w:r>
          </w:p>
        </w:tc>
        <w:tc>
          <w:tcPr>
            <w:tcW w:w="1649" w:type="dxa"/>
            <w:gridSpan w:val="2"/>
            <w:vAlign w:val="center"/>
          </w:tcPr>
          <w:p>
            <w:r>
              <w:t>重点工作质量达标率</w:t>
            </w:r>
          </w:p>
        </w:tc>
        <w:tc>
          <w:tcPr>
            <w:tcW w:w="1152" w:type="dxa"/>
            <w:vAlign w:val="center"/>
          </w:tcPr>
          <w:p>
            <w:r>
              <w:t>100%</w:t>
            </w:r>
          </w:p>
        </w:tc>
        <w:tc>
          <w:tcPr>
            <w:tcW w:w="1648" w:type="dxa"/>
            <w:gridSpan w:val="2"/>
            <w:vAlign w:val="center"/>
          </w:tcPr>
          <w:p>
            <w:r>
              <w:rPr>
                <w:rFonts w:hint="eastAsia"/>
              </w:rPr>
              <w:t>100%</w:t>
            </w:r>
          </w:p>
        </w:tc>
        <w:tc>
          <w:tcPr>
            <w:tcW w:w="951" w:type="dxa"/>
            <w:vAlign w:val="center"/>
          </w:tcPr>
          <w:p>
            <w:r>
              <w:t>10</w:t>
            </w:r>
          </w:p>
        </w:tc>
        <w:tc>
          <w:tcPr>
            <w:tcW w:w="1314" w:type="dxa"/>
            <w:vAlign w:val="center"/>
          </w:tcPr>
          <w:p>
            <w:r>
              <w:rPr>
                <w:rFonts w:hint="eastAsia"/>
              </w:rP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562" w:type="dxa"/>
            <w:vMerge w:val="continue"/>
            <w:vAlign w:val="center"/>
          </w:tcPr>
          <w:p/>
        </w:tc>
        <w:tc>
          <w:tcPr>
            <w:tcW w:w="978" w:type="dxa"/>
            <w:gridSpan w:val="2"/>
            <w:vAlign w:val="center"/>
          </w:tcPr>
          <w:p>
            <w:r>
              <w:t>时 效</w:t>
            </w:r>
          </w:p>
        </w:tc>
        <w:tc>
          <w:tcPr>
            <w:tcW w:w="1649" w:type="dxa"/>
            <w:gridSpan w:val="2"/>
            <w:vAlign w:val="center"/>
          </w:tcPr>
          <w:p>
            <w:r>
              <w:t>重点工作完成及时率</w:t>
            </w:r>
          </w:p>
        </w:tc>
        <w:tc>
          <w:tcPr>
            <w:tcW w:w="1152" w:type="dxa"/>
            <w:vAlign w:val="center"/>
          </w:tcPr>
          <w:p>
            <w:r>
              <w:t>100%</w:t>
            </w:r>
          </w:p>
        </w:tc>
        <w:tc>
          <w:tcPr>
            <w:tcW w:w="1648" w:type="dxa"/>
            <w:gridSpan w:val="2"/>
            <w:vAlign w:val="center"/>
          </w:tcPr>
          <w:p>
            <w:r>
              <w:rPr>
                <w:rFonts w:hint="eastAsia"/>
              </w:rPr>
              <w:t>100%</w:t>
            </w:r>
          </w:p>
        </w:tc>
        <w:tc>
          <w:tcPr>
            <w:tcW w:w="951" w:type="dxa"/>
            <w:vAlign w:val="center"/>
          </w:tcPr>
          <w:p>
            <w:r>
              <w:t>10</w:t>
            </w:r>
          </w:p>
        </w:tc>
        <w:tc>
          <w:tcPr>
            <w:tcW w:w="1314" w:type="dxa"/>
            <w:vAlign w:val="center"/>
          </w:tcPr>
          <w:p>
            <w:r>
              <w:rPr>
                <w:rFonts w:hint="eastAsia"/>
              </w:rP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continue"/>
            <w:vAlign w:val="center"/>
          </w:tcPr>
          <w:p/>
        </w:tc>
        <w:tc>
          <w:tcPr>
            <w:tcW w:w="978" w:type="dxa"/>
            <w:gridSpan w:val="2"/>
            <w:vAlign w:val="center"/>
          </w:tcPr>
          <w:p>
            <w:r>
              <w:t>成 本</w:t>
            </w:r>
          </w:p>
        </w:tc>
        <w:tc>
          <w:tcPr>
            <w:tcW w:w="1649" w:type="dxa"/>
            <w:gridSpan w:val="2"/>
            <w:vAlign w:val="center"/>
          </w:tcPr>
          <w:p>
            <w:r>
              <w:t>一般性支出压减率</w:t>
            </w:r>
          </w:p>
        </w:tc>
        <w:tc>
          <w:tcPr>
            <w:tcW w:w="1152" w:type="dxa"/>
            <w:vAlign w:val="center"/>
          </w:tcPr>
          <w:p>
            <w:r>
              <w:t>&gt;0</w:t>
            </w:r>
          </w:p>
        </w:tc>
        <w:tc>
          <w:tcPr>
            <w:tcW w:w="1648" w:type="dxa"/>
            <w:gridSpan w:val="2"/>
            <w:vAlign w:val="center"/>
          </w:tcPr>
          <w:p>
            <w:r>
              <w:rPr>
                <w:rFonts w:hint="eastAsia"/>
              </w:rPr>
              <w:t>68%</w:t>
            </w:r>
          </w:p>
        </w:tc>
        <w:tc>
          <w:tcPr>
            <w:tcW w:w="951" w:type="dxa"/>
            <w:vAlign w:val="center"/>
          </w:tcPr>
          <w:p>
            <w:r>
              <w:t>5</w:t>
            </w:r>
          </w:p>
        </w:tc>
        <w:tc>
          <w:tcPr>
            <w:tcW w:w="1314" w:type="dxa"/>
            <w:vAlign w:val="center"/>
          </w:tcPr>
          <w:p>
            <w:r>
              <w:rPr>
                <w:rFonts w:hint="eastAsia"/>
              </w:rPr>
              <w:t>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75" w:hRule="atLeast"/>
        </w:trPr>
        <w:tc>
          <w:tcPr>
            <w:tcW w:w="562" w:type="dxa"/>
            <w:vMerge w:val="restart"/>
            <w:vAlign w:val="center"/>
          </w:tcPr>
          <w:p>
            <w:r>
              <w:t>部门效果（20分）</w:t>
            </w:r>
          </w:p>
        </w:tc>
        <w:tc>
          <w:tcPr>
            <w:tcW w:w="978" w:type="dxa"/>
            <w:gridSpan w:val="2"/>
            <w:vAlign w:val="center"/>
          </w:tcPr>
          <w:p>
            <w:r>
              <w:rPr>
                <w:rFonts w:hint="eastAsia"/>
              </w:rPr>
              <w:t>社会</w:t>
            </w:r>
            <w:r>
              <w:t>效益</w:t>
            </w:r>
          </w:p>
        </w:tc>
        <w:tc>
          <w:tcPr>
            <w:tcW w:w="1649" w:type="dxa"/>
            <w:gridSpan w:val="2"/>
          </w:tcPr>
          <w:p>
            <w:r>
              <w:rPr>
                <w:rFonts w:hint="eastAsia"/>
              </w:rPr>
              <w:t>法律顾问提供服务</w:t>
            </w:r>
          </w:p>
        </w:tc>
        <w:tc>
          <w:tcPr>
            <w:tcW w:w="1152" w:type="dxa"/>
          </w:tcPr>
          <w:p>
            <w:r>
              <w:t>保证全年办案合格程度</w:t>
            </w:r>
          </w:p>
        </w:tc>
        <w:tc>
          <w:tcPr>
            <w:tcW w:w="1648" w:type="dxa"/>
            <w:gridSpan w:val="2"/>
          </w:tcPr>
          <w:p>
            <w:r>
              <w:t>合格</w:t>
            </w:r>
          </w:p>
        </w:tc>
        <w:tc>
          <w:tcPr>
            <w:tcW w:w="951" w:type="dxa"/>
            <w:vMerge w:val="restart"/>
            <w:vAlign w:val="center"/>
          </w:tcPr>
          <w:p>
            <w:r>
              <w:t>10</w:t>
            </w: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00" w:hRule="atLeast"/>
        </w:trPr>
        <w:tc>
          <w:tcPr>
            <w:tcW w:w="562" w:type="dxa"/>
            <w:vMerge w:val="continue"/>
            <w:vAlign w:val="center"/>
          </w:tcPr>
          <w:p/>
        </w:tc>
        <w:tc>
          <w:tcPr>
            <w:tcW w:w="978" w:type="dxa"/>
            <w:gridSpan w:val="2"/>
            <w:vAlign w:val="center"/>
          </w:tcPr>
          <w:p>
            <w:r>
              <w:t>社会效益</w:t>
            </w:r>
          </w:p>
        </w:tc>
        <w:tc>
          <w:tcPr>
            <w:tcW w:w="1649" w:type="dxa"/>
            <w:gridSpan w:val="2"/>
          </w:tcPr>
          <w:p>
            <w:r>
              <w:rPr>
                <w:rFonts w:hint="eastAsia"/>
              </w:rPr>
              <w:t>法律援助案件结案率</w:t>
            </w:r>
          </w:p>
        </w:tc>
        <w:tc>
          <w:tcPr>
            <w:tcW w:w="1152" w:type="dxa"/>
          </w:tcPr>
          <w:p>
            <w:r>
              <w:t>≥80%</w:t>
            </w:r>
          </w:p>
        </w:tc>
        <w:tc>
          <w:tcPr>
            <w:tcW w:w="1648" w:type="dxa"/>
            <w:gridSpan w:val="2"/>
          </w:tcPr>
          <w:p>
            <w:r>
              <w:t>80%</w:t>
            </w:r>
          </w:p>
        </w:tc>
        <w:tc>
          <w:tcPr>
            <w:tcW w:w="951" w:type="dxa"/>
            <w:vMerge w:val="continue"/>
            <w:vAlign w:val="center"/>
          </w:tcP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15" w:hRule="atLeast"/>
        </w:trPr>
        <w:tc>
          <w:tcPr>
            <w:tcW w:w="562" w:type="dxa"/>
            <w:vMerge w:val="continue"/>
            <w:vAlign w:val="center"/>
          </w:tcPr>
          <w:p/>
        </w:tc>
        <w:tc>
          <w:tcPr>
            <w:tcW w:w="978" w:type="dxa"/>
            <w:gridSpan w:val="2"/>
          </w:tcPr>
          <w:p>
            <w:r>
              <w:rPr>
                <w:rFonts w:hint="eastAsia"/>
              </w:rPr>
              <w:t>社会效益</w:t>
            </w:r>
          </w:p>
        </w:tc>
        <w:tc>
          <w:tcPr>
            <w:tcW w:w="1649" w:type="dxa"/>
            <w:gridSpan w:val="2"/>
          </w:tcPr>
          <w:p>
            <w:r>
              <w:rPr>
                <w:rFonts w:hint="eastAsia"/>
              </w:rPr>
              <w:t>社会持续稳定性</w:t>
            </w:r>
          </w:p>
        </w:tc>
        <w:tc>
          <w:tcPr>
            <w:tcW w:w="1152" w:type="dxa"/>
          </w:tcPr>
          <w:p>
            <w:r>
              <w:t>持续稳定</w:t>
            </w:r>
          </w:p>
        </w:tc>
        <w:tc>
          <w:tcPr>
            <w:tcW w:w="1648" w:type="dxa"/>
            <w:gridSpan w:val="2"/>
          </w:tcPr>
          <w:p>
            <w:r>
              <w:t>持续稳定</w:t>
            </w:r>
          </w:p>
        </w:tc>
        <w:tc>
          <w:tcPr>
            <w:tcW w:w="951" w:type="dxa"/>
            <w:vMerge w:val="continue"/>
            <w:vAlign w:val="center"/>
          </w:tcP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15" w:hRule="atLeast"/>
        </w:trPr>
        <w:tc>
          <w:tcPr>
            <w:tcW w:w="562" w:type="dxa"/>
            <w:vMerge w:val="continue"/>
            <w:vAlign w:val="center"/>
          </w:tcPr>
          <w:p/>
        </w:tc>
        <w:tc>
          <w:tcPr>
            <w:tcW w:w="978" w:type="dxa"/>
            <w:gridSpan w:val="2"/>
          </w:tcPr>
          <w:p>
            <w:r>
              <w:rPr>
                <w:rFonts w:hint="eastAsia"/>
              </w:rPr>
              <w:t>社会效益</w:t>
            </w:r>
          </w:p>
        </w:tc>
        <w:tc>
          <w:tcPr>
            <w:tcW w:w="1649" w:type="dxa"/>
            <w:gridSpan w:val="2"/>
          </w:tcPr>
          <w:p>
            <w:r>
              <w:rPr>
                <w:rFonts w:hint="eastAsia"/>
              </w:rPr>
              <w:t>营造良好法律环境</w:t>
            </w:r>
          </w:p>
        </w:tc>
        <w:tc>
          <w:tcPr>
            <w:tcW w:w="1152" w:type="dxa"/>
          </w:tcPr>
          <w:p>
            <w:r>
              <w:t>提升</w:t>
            </w:r>
          </w:p>
        </w:tc>
        <w:tc>
          <w:tcPr>
            <w:tcW w:w="1648" w:type="dxa"/>
            <w:gridSpan w:val="2"/>
          </w:tcPr>
          <w:p>
            <w:r>
              <w:t>提升</w:t>
            </w:r>
          </w:p>
        </w:tc>
        <w:tc>
          <w:tcPr>
            <w:tcW w:w="951" w:type="dxa"/>
            <w:vMerge w:val="continue"/>
            <w:vAlign w:val="center"/>
          </w:tcP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15" w:hRule="atLeast"/>
        </w:trPr>
        <w:tc>
          <w:tcPr>
            <w:tcW w:w="562" w:type="dxa"/>
            <w:vMerge w:val="continue"/>
            <w:vAlign w:val="center"/>
          </w:tcPr>
          <w:p/>
        </w:tc>
        <w:tc>
          <w:tcPr>
            <w:tcW w:w="978" w:type="dxa"/>
            <w:gridSpan w:val="2"/>
            <w:vAlign w:val="center"/>
          </w:tcPr>
          <w:p>
            <w:r>
              <w:rPr>
                <w:rFonts w:hint="eastAsia"/>
              </w:rPr>
              <w:t>社会</w:t>
            </w:r>
            <w:r>
              <w:t>效益</w:t>
            </w:r>
          </w:p>
        </w:tc>
        <w:tc>
          <w:tcPr>
            <w:tcW w:w="1649" w:type="dxa"/>
            <w:gridSpan w:val="2"/>
          </w:tcPr>
          <w:p>
            <w:r>
              <w:rPr>
                <w:rFonts w:hint="eastAsia"/>
              </w:rPr>
              <w:t>法律援助办理案件较上年提高</w:t>
            </w:r>
          </w:p>
        </w:tc>
        <w:tc>
          <w:tcPr>
            <w:tcW w:w="1152" w:type="dxa"/>
          </w:tcPr>
          <w:p>
            <w:r>
              <w:t>≥10%</w:t>
            </w:r>
          </w:p>
        </w:tc>
        <w:tc>
          <w:tcPr>
            <w:tcW w:w="1648" w:type="dxa"/>
            <w:gridSpan w:val="2"/>
          </w:tcPr>
          <w:p>
            <w:r>
              <w:t>20%</w:t>
            </w:r>
          </w:p>
        </w:tc>
        <w:tc>
          <w:tcPr>
            <w:tcW w:w="951" w:type="dxa"/>
            <w:vMerge w:val="continue"/>
            <w:vAlign w:val="center"/>
          </w:tcPr>
          <w:p/>
        </w:tc>
        <w:tc>
          <w:tcPr>
            <w:tcW w:w="1314" w:type="dxa"/>
            <w:vAlign w:val="center"/>
          </w:tcPr>
          <w:p>
            <w:r>
              <w:rPr>
                <w:rFonts w:hint="eastAsia"/>
              </w:rPr>
              <w:t>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35" w:hRule="atLeast"/>
        </w:trPr>
        <w:tc>
          <w:tcPr>
            <w:tcW w:w="562" w:type="dxa"/>
            <w:vMerge w:val="continue"/>
            <w:vAlign w:val="center"/>
          </w:tcPr>
          <w:p/>
        </w:tc>
        <w:tc>
          <w:tcPr>
            <w:tcW w:w="978" w:type="dxa"/>
            <w:gridSpan w:val="2"/>
            <w:vAlign w:val="center"/>
          </w:tcPr>
          <w:p>
            <w:r>
              <w:t>满意度</w:t>
            </w:r>
          </w:p>
        </w:tc>
        <w:tc>
          <w:tcPr>
            <w:tcW w:w="1649" w:type="dxa"/>
            <w:gridSpan w:val="2"/>
          </w:tcPr>
          <w:p>
            <w:r>
              <w:rPr>
                <w:rFonts w:hint="eastAsia"/>
              </w:rPr>
              <w:t>法律服务满意度</w:t>
            </w:r>
          </w:p>
        </w:tc>
        <w:tc>
          <w:tcPr>
            <w:tcW w:w="1152" w:type="dxa"/>
          </w:tcPr>
          <w:p>
            <w:r>
              <w:t>≥90%</w:t>
            </w:r>
          </w:p>
        </w:tc>
        <w:tc>
          <w:tcPr>
            <w:tcW w:w="1648" w:type="dxa"/>
            <w:gridSpan w:val="2"/>
          </w:tcPr>
          <w:p>
            <w:r>
              <w:t>92%</w:t>
            </w:r>
          </w:p>
        </w:tc>
        <w:tc>
          <w:tcPr>
            <w:tcW w:w="951" w:type="dxa"/>
            <w:vAlign w:val="center"/>
          </w:tcPr>
          <w:p>
            <w:r>
              <w:t>10</w:t>
            </w:r>
          </w:p>
        </w:tc>
        <w:tc>
          <w:tcPr>
            <w:tcW w:w="1314" w:type="dxa"/>
            <w:vAlign w:val="center"/>
          </w:tcPr>
          <w:p>
            <w:r>
              <w:rPr>
                <w:rFonts w:hint="eastAsia"/>
              </w:rPr>
              <w:t>10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360" w:hRule="atLeast"/>
        </w:trPr>
        <w:tc>
          <w:tcPr>
            <w:tcW w:w="3189" w:type="dxa"/>
            <w:gridSpan w:val="5"/>
            <w:vAlign w:val="center"/>
          </w:tcPr>
          <w:p>
            <w:r>
              <w:t>合　计</w:t>
            </w:r>
          </w:p>
        </w:tc>
        <w:tc>
          <w:tcPr>
            <w:tcW w:w="1152" w:type="dxa"/>
            <w:vAlign w:val="center"/>
          </w:tcPr>
          <w:p>
            <w:r>
              <w:t>——</w:t>
            </w:r>
          </w:p>
        </w:tc>
        <w:tc>
          <w:tcPr>
            <w:tcW w:w="1648" w:type="dxa"/>
            <w:gridSpan w:val="2"/>
            <w:vAlign w:val="center"/>
          </w:tcPr>
          <w:p>
            <w:r>
              <w:t>——</w:t>
            </w:r>
          </w:p>
        </w:tc>
        <w:tc>
          <w:tcPr>
            <w:tcW w:w="951" w:type="dxa"/>
            <w:vAlign w:val="center"/>
          </w:tcPr>
          <w:p>
            <w:r>
              <w:t>100</w:t>
            </w:r>
          </w:p>
        </w:tc>
        <w:tc>
          <w:tcPr>
            <w:tcW w:w="1314" w:type="dxa"/>
            <w:vAlign w:val="center"/>
          </w:tcPr>
          <w:p>
            <w:r>
              <w:rPr>
                <w:rFonts w:hint="eastAsia"/>
              </w:rPr>
              <w:t>88.5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20" w:hRule="atLeast"/>
        </w:trPr>
        <w:tc>
          <w:tcPr>
            <w:tcW w:w="3189" w:type="dxa"/>
            <w:gridSpan w:val="5"/>
            <w:vAlign w:val="center"/>
          </w:tcPr>
          <w:p>
            <w:r>
              <w:t>评价结论：</w:t>
            </w:r>
          </w:p>
        </w:tc>
        <w:tc>
          <w:tcPr>
            <w:tcW w:w="5065" w:type="dxa"/>
            <w:gridSpan w:val="5"/>
            <w:vAlign w:val="bottom"/>
          </w:tcPr>
          <w:p>
            <w:r>
              <w:rPr>
                <w:rFonts w:hint="eastAsia"/>
              </w:rPr>
              <w:t>良</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80" w:hRule="atLeast"/>
        </w:trPr>
        <w:tc>
          <w:tcPr>
            <w:tcW w:w="3189" w:type="dxa"/>
            <w:gridSpan w:val="5"/>
            <w:vAlign w:val="center"/>
          </w:tcPr>
          <w:p>
            <w:r>
              <w:t>绩效指标完成的指标</w:t>
            </w:r>
          </w:p>
        </w:tc>
        <w:tc>
          <w:tcPr>
            <w:tcW w:w="5065" w:type="dxa"/>
            <w:gridSpan w:val="5"/>
            <w:vAlign w:val="center"/>
          </w:tcPr>
          <w:p>
            <w:r>
              <w:t>1、“三公经费”变动率2、问题资金占比3、政府采购执行率4、资产管理规范性5、在职人员控制率6、预决算信息公开性7、绩效信息公开性8、重点工作完成率9、重点工作质量达标率10、重点工作完成及时性11、一般性支出压减率12. 法律顾问提供服务13、法律援助案件结案率14、社会持续稳定性15、营造良好法律环境16、法律援助办理案件较上年提高17、法律服务满意度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450" w:hRule="atLeast"/>
        </w:trPr>
        <w:tc>
          <w:tcPr>
            <w:tcW w:w="3189" w:type="dxa"/>
            <w:gridSpan w:val="5"/>
            <w:vAlign w:val="center"/>
          </w:tcPr>
          <w:p>
            <w:r>
              <w:t>超标完成和尚未完成的绩效指标与目标值偏差程度</w:t>
            </w:r>
          </w:p>
        </w:tc>
        <w:tc>
          <w:tcPr>
            <w:tcW w:w="5065" w:type="dxa"/>
            <w:gridSpan w:val="5"/>
            <w:vAlign w:val="center"/>
          </w:tcPr>
          <w:p>
            <w:r>
              <w:rPr>
                <w:rFonts w:hint="eastAsia"/>
              </w:rPr>
              <w:t>结转结余变动率、在职人员控制率超标</w:t>
            </w:r>
            <w:r>
              <w:t>7%，预算调整率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10" w:hRule="atLeast"/>
        </w:trPr>
        <w:tc>
          <w:tcPr>
            <w:tcW w:w="3189" w:type="dxa"/>
            <w:gridSpan w:val="5"/>
            <w:vAlign w:val="center"/>
          </w:tcPr>
          <w:p>
            <w:r>
              <w:t>超标完成和尚未完成的绩效指标原因说明</w:t>
            </w:r>
          </w:p>
        </w:tc>
        <w:tc>
          <w:tcPr>
            <w:tcW w:w="5065" w:type="dxa"/>
            <w:gridSpan w:val="5"/>
            <w:vAlign w:val="center"/>
          </w:tcPr>
          <w:p>
            <w:r>
              <w:t>1、结转结余变动率是上级转移支付资金结转2、预算调整率未完成是机构改革，原县政府法制办经费调整到我单位，人员变化，增人增资，3、在职人员控制率超标是历史遗留问题</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690" w:hRule="atLeast"/>
        </w:trPr>
        <w:tc>
          <w:tcPr>
            <w:tcW w:w="1152" w:type="dxa"/>
            <w:gridSpan w:val="2"/>
            <w:vMerge w:val="restart"/>
            <w:vAlign w:val="center"/>
          </w:tcPr>
          <w:p>
            <w:r>
              <w:t>改进措施</w:t>
            </w:r>
          </w:p>
        </w:tc>
        <w:tc>
          <w:tcPr>
            <w:tcW w:w="2037" w:type="dxa"/>
            <w:gridSpan w:val="3"/>
            <w:vAlign w:val="center"/>
          </w:tcPr>
          <w:p>
            <w:r>
              <w:t>1.对部门预算编制、预算执行与部门决算等的措施</w:t>
            </w:r>
          </w:p>
        </w:tc>
        <w:tc>
          <w:tcPr>
            <w:tcW w:w="5065" w:type="dxa"/>
            <w:gridSpan w:val="5"/>
            <w:vAlign w:val="center"/>
          </w:tcPr>
          <w:p>
            <w:r>
              <w:t>1、细化预算及绩效管理工作，在预算及绩效编制过程中更加科学规范。2、预算编制工作与业务工作紧密结合，增强预算编制准确性3、加强预算执行和绩效考核，将绩效考核工作贯穿业务工作全过程。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70" w:hRule="atLeast"/>
        </w:trPr>
        <w:tc>
          <w:tcPr>
            <w:tcW w:w="1152" w:type="dxa"/>
            <w:gridSpan w:val="2"/>
            <w:vMerge w:val="continue"/>
            <w:vAlign w:val="center"/>
          </w:tcPr>
          <w:p/>
        </w:tc>
        <w:tc>
          <w:tcPr>
            <w:tcW w:w="2037" w:type="dxa"/>
            <w:gridSpan w:val="3"/>
            <w:vAlign w:val="center"/>
          </w:tcPr>
          <w:p>
            <w:r>
              <w:t>2.对制度完善、人员管理、资产配置等的措施</w:t>
            </w:r>
          </w:p>
        </w:tc>
        <w:tc>
          <w:tcPr>
            <w:tcW w:w="5065" w:type="dxa"/>
            <w:gridSpan w:val="5"/>
            <w:vAlign w:val="center"/>
          </w:tcPr>
          <w:p>
            <w:r>
              <w:t>1、结合实际工作，不断完成绩效管理制度2、积极宣传预算绩效管理工作，提高绩效意识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 w:type="dxa"/>
            <w:bottom w:w="0" w:type="dxa"/>
            <w:right w:w="10" w:type="dxa"/>
          </w:tblCellMar>
        </w:tblPrEx>
        <w:trPr>
          <w:trHeight w:val="585" w:hRule="atLeast"/>
        </w:trPr>
        <w:tc>
          <w:tcPr>
            <w:tcW w:w="1152" w:type="dxa"/>
            <w:gridSpan w:val="2"/>
            <w:vMerge w:val="continue"/>
            <w:vAlign w:val="center"/>
          </w:tcPr>
          <w:p/>
        </w:tc>
        <w:tc>
          <w:tcPr>
            <w:tcW w:w="2037" w:type="dxa"/>
            <w:gridSpan w:val="3"/>
            <w:vAlign w:val="center"/>
          </w:tcPr>
          <w:p>
            <w:r>
              <w:t>3.其他措施</w:t>
            </w:r>
          </w:p>
        </w:tc>
        <w:tc>
          <w:tcPr>
            <w:tcW w:w="5065" w:type="dxa"/>
            <w:gridSpan w:val="5"/>
            <w:vAlign w:val="center"/>
          </w:tcPr>
          <w:p>
            <w:r>
              <w:t>1、提高开源节流力度，保障机关运行；2、推进绩效管理工作深入开展</w:t>
            </w:r>
          </w:p>
        </w:tc>
      </w:tr>
    </w:tbl>
    <w:p/>
    <w:p/>
    <w:p/>
    <w:p>
      <w:pPr>
        <w:pStyle w:val="14"/>
        <w:spacing w:line="583" w:lineRule="auto"/>
        <w:ind w:firstLine="420"/>
        <w:jc w:val="both"/>
      </w:pPr>
    </w:p>
    <w:sectPr>
      <w:headerReference r:id="rId23" w:type="first"/>
      <w:headerReference r:id="rId22" w:type="default"/>
      <w:footerReference r:id="rId24" w:type="default"/>
      <w:pgSz w:w="11906" w:h="16838"/>
      <w:pgMar w:top="1701" w:right="1417" w:bottom="1281" w:left="141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swiss"/>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思源黑体 HW Bold">
    <w:altName w:val="黑体"/>
    <w:panose1 w:val="00000000000000000000"/>
    <w:charset w:val="86"/>
    <w:family w:val="swiss"/>
    <w:pitch w:val="default"/>
    <w:sig w:usb0="00000000" w:usb1="00000000" w:usb2="00000016" w:usb3="00000000" w:csb0="002E0107" w:csb1="00000000"/>
  </w:font>
  <w:font w:name="楷体_GB2312">
    <w:altName w:val="楷体"/>
    <w:panose1 w:val="00000000000000000000"/>
    <w:charset w:val="86"/>
    <w:family w:val="modern"/>
    <w:pitch w:val="default"/>
    <w:sig w:usb0="00000000" w:usb1="00000000" w:usb2="00000010" w:usb3="00000000" w:csb0="00040000" w:csb1="00000000"/>
  </w:font>
  <w:font w:name="Yu Gothic UI Semibold">
    <w:altName w:val="MS Mincho"/>
    <w:panose1 w:val="00000000000000000000"/>
    <w:charset w:val="80"/>
    <w:family w:val="swiss"/>
    <w:pitch w:val="default"/>
    <w:sig w:usb0="00000000" w:usb1="00000000" w:usb2="00000016" w:usb3="00000000" w:csb0="0002009F" w:csb1="00000000"/>
  </w:font>
  <w:font w:name="ArialUnicodeMS">
    <w:altName w:val="Malgun Gothic"/>
    <w:panose1 w:val="00000000000000000000"/>
    <w:charset w:val="81"/>
    <w:family w:val="auto"/>
    <w:pitch w:val="default"/>
    <w:sig w:usb0="00000000" w:usb1="00000000" w:usb2="00000010" w:usb3="00000000" w:csb0="00080001" w:csb1="00000000"/>
  </w:font>
  <w:font w:name="Cambria">
    <w:panose1 w:val="02040503050406030204"/>
    <w:charset w:val="00"/>
    <w:family w:val="roman"/>
    <w:pitch w:val="default"/>
    <w:sig w:usb0="A00002EF" w:usb1="4000004B" w:usb2="00000000" w:usb3="00000000" w:csb0="2000009F" w:csb1="00000000"/>
  </w:font>
  <w:font w:name="DengXian-Regular">
    <w:altName w:val="宋体"/>
    <w:panose1 w:val="00000000000000000000"/>
    <w:charset w:val="86"/>
    <w:family w:val="auto"/>
    <w:pitch w:val="default"/>
    <w:sig w:usb0="00000000" w:usb1="00000000" w:usb2="00000010" w:usb3="00000000" w:csb0="00040001" w:csb1="00000000"/>
  </w:font>
  <w:font w:name="DengXian-Bold">
    <w:altName w:val="宋体"/>
    <w:panose1 w:val="00000000000000000000"/>
    <w:charset w:val="86"/>
    <w:family w:val="auto"/>
    <w:pitch w:val="default"/>
    <w:sig w:usb0="00000000" w:usb1="00000000" w:usb2="00000010" w:usb3="00000000" w:csb0="00040001" w:csb1="00000000"/>
  </w:font>
  <w:font w:name="TimesNewRomanPSMT">
    <w:altName w:val="Arial"/>
    <w:panose1 w:val="00000000000000000000"/>
    <w:charset w:val="00"/>
    <w:family w:val="swiss"/>
    <w:pitch w:val="default"/>
    <w:sig w:usb0="00000000" w:usb1="00000000" w:usb2="00000000" w:usb3="00000000" w:csb0="00000001" w:csb1="00000000"/>
  </w:font>
  <w:font w:name="MS-UIGothic,Bold">
    <w:altName w:val="Malgun Gothic"/>
    <w:panose1 w:val="00000000000000000000"/>
    <w:charset w:val="81"/>
    <w:family w:val="auto"/>
    <w:pitch w:val="default"/>
    <w:sig w:usb0="00000000" w:usb1="00000000" w:usb2="00000010" w:usb3="00000000" w:csb0="00080000" w:csb1="00000000"/>
  </w:font>
  <w:font w:name="仿宋">
    <w:panose1 w:val="02010609060101010101"/>
    <w:charset w:val="86"/>
    <w:family w:val="modern"/>
    <w:pitch w:val="default"/>
    <w:sig w:usb0="800002BF" w:usb1="38CF7CFA" w:usb2="00000016" w:usb3="00000000" w:csb0="00040001"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MS Mincho">
    <w:panose1 w:val="02020609040205080304"/>
    <w:charset w:val="80"/>
    <w:family w:val="auto"/>
    <w:pitch w:val="default"/>
    <w:sig w:usb0="E00002FF" w:usb1="6AC7FDFB" w:usb2="00000012" w:usb3="00000000" w:csb0="4002009F" w:csb1="DFD70000"/>
  </w:font>
  <w:font w:name="Malgun Gothic">
    <w:panose1 w:val="020B0503020000020004"/>
    <w:charset w:val="81"/>
    <w:family w:val="auto"/>
    <w:pitch w:val="default"/>
    <w:sig w:usb0="900002AF" w:usb1="01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72576" behindDoc="0" locked="0" layoutInCell="1" allowOverlap="1">
              <wp:simplePos x="0" y="0"/>
              <wp:positionH relativeFrom="margin">
                <wp:posOffset>2662555</wp:posOffset>
              </wp:positionH>
              <wp:positionV relativeFrom="paragraph">
                <wp:posOffset>-164465</wp:posOffset>
              </wp:positionV>
              <wp:extent cx="388620" cy="181610"/>
              <wp:effectExtent l="0" t="0" r="0" b="0"/>
              <wp:wrapNone/>
              <wp:docPr id="2" name="文本框 2"/>
              <wp:cNvGraphicFramePr/>
              <a:graphic xmlns:a="http://schemas.openxmlformats.org/drawingml/2006/main">
                <a:graphicData uri="http://schemas.microsoft.com/office/word/2010/wordprocessingShape">
                  <wps:wsp>
                    <wps:cNvSpPr txBox="1"/>
                    <wps:spPr>
                      <a:xfrm>
                        <a:off x="0" y="0"/>
                        <a:ext cx="388620" cy="1816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- 10 -</w:t>
                          </w:r>
                          <w:r>
                            <w:rPr>
                              <w:rFonts w:ascii="Times New Roman" w:hAnsi="Times New Roman" w:cs="Times New Roman"/>
                              <w:sz w:val="24"/>
                              <w:szCs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9.65pt;margin-top:-12.95pt;height:14.3pt;width:30.6pt;mso-position-horizontal-relative:margin;z-index:251672576;mso-width-relative:page;mso-height-relative:page;" filled="f" stroked="f" coordsize="21600,21600" o:gfxdata="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D5RxP9kAAAAJAQAADwAAAAAAAAABACAAAAAiAAAAZHJzL2Rvd25yZXYueG1s&#10;UEsBAhQAFAAAAAgAh07iQOwo99owAgAAVQQAAA4AAAAAAAAAAQAgAAAAKAEAAGRycy9lMm9Eb2Mu&#10;eG1sUEsFBgAAAAAGAAYAWQEAAMoFAAAAAA==&#10;">
              <v:fill on="f" focussize="0,0"/>
              <v:stroke on="f" weight="0.5pt"/>
              <v:imagedata o:title=""/>
              <o:lock v:ext="edit" aspectratio="f"/>
              <v:textbox inset="0mm,0mm,0mm,0mm">
                <w:txbx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- 10 -</w:t>
                    </w:r>
                    <w:r>
                      <w:rPr>
                        <w:rFonts w:ascii="Times New Roman" w:hAnsi="Times New Roman" w:cs="Times New Roman"/>
                        <w:sz w:val="24"/>
                        <w:szCs w:val="24"/>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73600" behindDoc="0" locked="0" layoutInCell="1" allowOverlap="1">
              <wp:simplePos x="0" y="0"/>
              <wp:positionH relativeFrom="margin">
                <wp:posOffset>2623185</wp:posOffset>
              </wp:positionH>
              <wp:positionV relativeFrom="paragraph">
                <wp:posOffset>-285115</wp:posOffset>
              </wp:positionV>
              <wp:extent cx="431800" cy="446405"/>
              <wp:effectExtent l="0" t="0" r="0" b="0"/>
              <wp:wrapNone/>
              <wp:docPr id="3" name="文本框 3"/>
              <wp:cNvGraphicFramePr/>
              <a:graphic xmlns:a="http://schemas.openxmlformats.org/drawingml/2006/main">
                <a:graphicData uri="http://schemas.microsoft.com/office/word/2010/wordprocessingShape">
                  <wps:wsp>
                    <wps:cNvSpPr txBox="1"/>
                    <wps:spPr>
                      <a:xfrm>
                        <a:off x="0" y="0"/>
                        <a:ext cx="431800" cy="446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- 4 -</w:t>
                          </w:r>
                          <w:r>
                            <w:rPr>
                              <w:rFonts w:ascii="Times New Roman" w:hAnsi="Times New Roman" w:cs="Times New Roman"/>
                              <w:sz w:val="24"/>
                              <w:szCs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6.55pt;margin-top:-22.45pt;height:35.15pt;width:34pt;mso-position-horizontal-relative:margin;z-index:251673600;mso-width-relative:page;mso-height-relative:page;" filled="f" stroked="f" coordsize="21600,21600" o:gfxdata="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IXVzfvZAAAACgEAAA8AAAAAAAAAAQAgAAAAIgAAAGRycy9kb3ducmV2Lnht&#10;bFBLAQIUABQAAAAIAIdO4kAFGwodMQIAAFUEAAAOAAAAAAAAAAEAIAAAACgBAABkcnMvZTJvRG9j&#10;LnhtbFBLBQYAAAAABgAGAFkBAADLBQAAAAA=&#10;">
              <v:fill on="f" focussize="0,0"/>
              <v:stroke on="f" weight="0.5pt"/>
              <v:imagedata o:title=""/>
              <o:lock v:ext="edit" aspectratio="f"/>
              <v:textbox inset="0mm,0mm,0mm,0mm">
                <w:txbx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- 4 -</w:t>
                    </w:r>
                    <w:r>
                      <w:rPr>
                        <w:rFonts w:ascii="Times New Roman" w:hAnsi="Times New Roman" w:cs="Times New Roman"/>
                        <w:sz w:val="24"/>
                        <w:szCs w:val="24"/>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74624"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- 15 -</w:t>
                          </w:r>
                          <w:r>
                            <w:rPr>
                              <w:rFonts w:ascii="Times New Roman" w:hAnsi="Times New Roman" w:cs="Times New Roman"/>
                              <w:sz w:val="24"/>
                              <w:szCs w:val="24"/>
                            </w:rPr>
                            <w:fldChar w:fldCharType="end"/>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9.15pt;margin-top:-6pt;height:18.7pt;width:144pt;mso-position-horizontal-relative:margin;mso-wrap-style:none;z-index:251674624;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M33f3PZAAAACgEAAA8AAAAAAAAAAQAgAAAAIgAAAGRycy9kb3ducmV2Lnht&#10;bFBLAQIUABQAAAAIAIdO4kBDJau5MQIAAFQEAAAOAAAAAAAAAAEAIAAAACgBAABkcnMvZTJvRG9j&#10;LnhtbFBLBQYAAAAABgAGAFkBAADLBQAAAAA=&#10;">
              <v:fill on="f" focussize="0,0"/>
              <v:stroke on="f" weight="0.5pt"/>
              <v:imagedata o:title=""/>
              <o:lock v:ext="edit" aspectratio="f"/>
              <v:textbox inset="0mm,0mm,0mm,0mm">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- 15 -</w:t>
                    </w:r>
                    <w:r>
                      <w:rPr>
                        <w:rFonts w:ascii="Times New Roman" w:hAnsi="Times New Roman" w:cs="Times New Roman"/>
                        <w:sz w:val="24"/>
                        <w:szCs w:val="24"/>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75648" behindDoc="0" locked="0" layoutInCell="1" allowOverlap="1">
              <wp:simplePos x="0" y="0"/>
              <wp:positionH relativeFrom="margin">
                <wp:posOffset>2609215</wp:posOffset>
              </wp:positionH>
              <wp:positionV relativeFrom="paragraph">
                <wp:posOffset>-238125</wp:posOffset>
              </wp:positionV>
              <wp:extent cx="382905" cy="399415"/>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382905" cy="3994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- 11 -</w:t>
                          </w:r>
                          <w:r>
                            <w:rPr>
                              <w:rFonts w:ascii="Times New Roman" w:hAnsi="Times New Roman" w:cs="Times New Roman"/>
                              <w:sz w:val="24"/>
                              <w:szCs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5.45pt;margin-top:-18.75pt;height:31.45pt;width:30.15pt;mso-position-horizontal-relative:margin;z-index:251675648;mso-width-relative:page;mso-height-relative:page;" filled="f" stroked="f" coordsize="21600,21600" o:gfxdata="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7ilozaAAAACgEAAA8AAAAAAAAAAQAgAAAAIgAAAGRycy9kb3ducmV2&#10;LnhtbFBLAQIUABQAAAAIAIdO4kCYs7DsMwIAAFcEAAAOAAAAAAAAAAEAIAAAACkBAABkcnMvZTJv&#10;RG9jLnhtbFBLBQYAAAAABgAGAFkBAADOBQAAAAA=&#10;">
              <v:fill on="f" focussize="0,0"/>
              <v:stroke on="f" weight="0.5pt"/>
              <v:imagedata o:title=""/>
              <o:lock v:ext="edit" aspectratio="f"/>
              <v:textbox inset="0mm,0mm,0mm,0mm">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- 11 -</w:t>
                    </w:r>
                    <w:r>
                      <w:rPr>
                        <w:rFonts w:ascii="Times New Roman" w:hAnsi="Times New Roman" w:cs="Times New Roman"/>
                        <w:sz w:val="24"/>
                        <w:szCs w:val="24"/>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78720"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- 22 -</w:t>
                          </w:r>
                          <w:r>
                            <w:rPr>
                              <w:rFonts w:ascii="Times New Roman" w:hAnsi="Times New Roman" w:cs="Times New Roman"/>
                              <w:sz w:val="24"/>
                              <w:szCs w:val="24"/>
                            </w:rPr>
                            <w:fldChar w:fldCharType="end"/>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9.15pt;margin-top:-6pt;height:18.7pt;width:144pt;mso-position-horizontal-relative:margin;mso-wrap-style:none;z-index:251678720;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zfd/c9kAAAAKAQAADwAAAAAAAAABACAAAAAiAAAAZHJzL2Rvd25yZXYueG1s&#10;UEsBAhQAFAAAAAgAh07iQK8TUP8wAgAAVgQAAA4AAAAAAAAAAQAgAAAAKAEAAGRycy9lMm9Eb2Mu&#10;eG1sUEsFBgAAAAAGAAYAWQEAAMoFAAAAAA==&#10;">
              <v:fill on="f" focussize="0,0"/>
              <v:stroke on="f" weight="0.5pt"/>
              <v:imagedata o:title=""/>
              <o:lock v:ext="edit" aspectratio="f"/>
              <v:textbox inset="0mm,0mm,0mm,0mm">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- 22 -</w:t>
                    </w:r>
                    <w:r>
                      <w:rPr>
                        <w:rFonts w:ascii="Times New Roman" w:hAnsi="Times New Roman" w:cs="Times New Roman"/>
                        <w:sz w:val="24"/>
                        <w:szCs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g">
          <w:drawing>
            <wp:anchor distT="0" distB="0" distL="114300" distR="114300" simplePos="0" relativeHeight="251660288" behindDoc="0" locked="0" layoutInCell="1" allowOverlap="1">
              <wp:simplePos x="0" y="0"/>
              <wp:positionH relativeFrom="page">
                <wp:align>left</wp:align>
              </wp:positionH>
              <wp:positionV relativeFrom="page">
                <wp:posOffset>377825</wp:posOffset>
              </wp:positionV>
              <wp:extent cx="2000250" cy="406400"/>
              <wp:effectExtent l="0" t="0" r="0" b="0"/>
              <wp:wrapNone/>
              <wp:docPr id="76" name="组合 76"/>
              <wp:cNvGraphicFramePr/>
              <a:graphic xmlns:a="http://schemas.openxmlformats.org/drawingml/2006/main">
                <a:graphicData uri="http://schemas.microsoft.com/office/word/2010/wordprocessingGroup">
                  <wpg:wgp>
                    <wpg:cNvGrpSpPr/>
                    <wpg:grpSpPr>
                      <a:xfrm>
                        <a:off x="0" y="0"/>
                        <a:ext cx="2000250" cy="406400"/>
                        <a:chOff x="1337" y="880"/>
                        <a:chExt cx="3150" cy="640"/>
                      </a:xfrm>
                    </wpg:grpSpPr>
                    <wps:wsp>
                      <wps:cNvPr id="7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top:29.75pt;height:32pt;width:157.5pt;mso-position-horizontal:left;mso-position-horizontal-relative:page;mso-position-vertical-relative:page;z-index:251660288;mso-width-relative:page;mso-height-relative:page;" coordorigin="1337,880" coordsize="3150,640"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">
              <o:lock v:ext="edit" aspectratio="f"/>
              <v:shape id="文本框 6" o:spid="_x0000_s1026" o:spt="202" type="#_x0000_t202" style="position:absolute;left:1401;top:880;height:641;width:3087;" filled="f" stroked="f" coordsize="21600,21600" o:gfxdata="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kSNFS/&#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ADPS4L0AAADb&#10;AAAADwAAAGRycy9kb3ducmV2LnhtbEWPwU7DMAyG70h7h8iTuKAtKQJWyrIJTUziujLt7DWmrWic&#10;KgndeHt8QOJo/f4/+1tvr35QE8XUB7ZQLA0o4ia4nlsLx4/9ogSVMrLDITBZ+KEE283sZo2VCxc+&#10;0FTnVgmEU4UWupzHSuvUdOQxLcNILNlniB6zjLHVLuJF4H7Q98Y8aY89y4UOR9p11HzV314ox+fX&#10;R/1WnouHu92pjFNRH8ze2tt5YV5AZbrm/+W/9ruzsJJnxUU8QG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M9LgvQAA&#10;ANs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r>
      <mc:AlternateContent>
        <mc:Choice Requires="wpg">
          <w:drawing>
            <wp:anchor distT="0" distB="0" distL="114300" distR="114300" simplePos="0" relativeHeight="251659264" behindDoc="0" locked="0" layoutInCell="1" allowOverlap="1">
              <wp:simplePos x="0" y="0"/>
              <wp:positionH relativeFrom="page">
                <wp:align>center</wp:align>
              </wp:positionH>
              <wp:positionV relativeFrom="topMargin">
                <wp:align>bottom</wp:align>
              </wp:positionV>
              <wp:extent cx="7575550" cy="748665"/>
              <wp:effectExtent l="0" t="0" r="6350" b="13335"/>
              <wp:wrapNone/>
              <wp:docPr id="79" name="组合 79"/>
              <wp:cNvGraphicFramePr/>
              <a:graphic xmlns:a="http://schemas.openxmlformats.org/drawingml/2006/main">
                <a:graphicData uri="http://schemas.microsoft.com/office/word/2010/wordprocessingGroup">
                  <wpg:wgp>
                    <wpg:cNvGrpSpPr/>
                    <wpg:grpSpPr>
                      <a:xfrm>
                        <a:off x="0" y="0"/>
                        <a:ext cx="7575550" cy="748665"/>
                        <a:chOff x="881" y="505"/>
                        <a:chExt cx="11930" cy="1179"/>
                      </a:xfrm>
                    </wpg:grpSpPr>
                    <wps:wsp>
                      <wps:cNvPr id="8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100000</wp14:pctWidth>
              </wp14:sizeRelH>
              <wp14:sizeRelV relativeFrom="page">
                <wp14:pctHeight>0</wp14:pctHeight>
              </wp14:sizeRelV>
            </wp:anchor>
          </w:drawing>
        </mc:Choice>
        <mc:Fallback>
          <w:pict>
            <v:group id="_x0000_s1026" o:spid="_x0000_s1026" o:spt="203" style="position:absolute;left:0pt;margin-left:0pt;margin-top:0pt;height:58.95pt;width:596.5pt;mso-position-horizontal-relative:page;mso-position-vertical-relative:page;z-index:251659264;mso-width-relative:page;mso-height-relative:page;mso-width-percent:1000;" coordorigin="881,505" coordsize="11930,1179" o:gfxdata="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6bUllbkAAADb&#10;AAAADwAAAGRycy9kb3ducmV2LnhtbEVPy4rCMBTdC/5DuANuRBMFRTqmXQyKLkYGHx9wae40pc1N&#10;aVIffz9ZCLM8nPe2eLpW3KkPtWcNi7kCQVx6U3Ol4XbdzzYgQkQ22HomDS8KUOTj0RYz4x98pvsl&#10;ViKFcMhQg42xy6QMpSWHYe474sT9+t5hTLCvpOnxkcJdK5dKraXDmlODxY6+LJXNZXAahmBWg/1R&#10;zXdzWnM8uF1TTpXWk4+F+gQR6Rn/xW/30WjYpPXpS/oBMv8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m1JZW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AUUeGr4AAADb&#10;AAAADwAAAGRycy9kb3ducmV2LnhtbEWP3WrCQBSE7wu+w3IE7+omIjVGVxF/qFf1Lw9wyB6TaPZs&#10;yG6NfXu3UOjlMDPfMPPl09TiQa2rLCuIhxEI4tzqigsF2WX3noBwHlljbZkU/JCD5aL3NsdU245P&#10;9Dj7QgQIuxQVlN43qZQuL8mgG9qGOHhX2xr0QbaF1C12AW5qOYqiD2mw4rBQYkPrkvL7+dsoWH0d&#10;prtjnmRFfZl02fa2mYw/b0oN+nE0A+Hp6f/Df+29VpDE8Psl/AC5e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UUeGr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3ZIh3LwAAADb&#10;AAAADwAAAGRycy9kb3ducmV2LnhtbEWPwWrDMBBE74X8g9hAb43kQNvgRDFJIRBCL3X7AYu1sZxY&#10;K9tSHefvq0Khx2Fm3jCbYnKtGGkIjWcN2UKBIK68abjW8PV5eFqBCBHZYOuZNNwpQLGdPWwwN/7G&#10;HzSWsRYJwiFHDTbGLpcyVJYchoXviJN39oPDmORQSzPgLcFdK5dKvUiHDacFix29Waqu5bfT8Dzy&#10;+7W3qsN97DO7yy6n8HrR+nGeqTWISFP8D/+1j0bDagm/X9IPkN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2SIdy8AAAA&#10;2wAAAA8AAAAAAAAAAQAgAAAAIgAAAGRycy9kb3ducmV2LnhtbFBLAQIUABQAAAAIAIdO4kAzLwWe&#10;OwAAADkAAAAQAAAAAAAAAAEAIAAAAAsBAABkcnMvc2hhcGV4bWwueG1sUEsFBgAAAAAGAAYAWwEA&#10;ALUDA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both"/>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g">
          <w:drawing>
            <wp:anchor distT="0" distB="0" distL="114300" distR="114300" simplePos="0" relativeHeight="251667456" behindDoc="0" locked="0" layoutInCell="1" allowOverlap="1">
              <wp:simplePos x="0" y="0"/>
              <wp:positionH relativeFrom="page">
                <wp:posOffset>0</wp:posOffset>
              </wp:positionH>
              <wp:positionV relativeFrom="topMargin">
                <wp:posOffset>550545</wp:posOffset>
              </wp:positionV>
              <wp:extent cx="7553960" cy="480695"/>
              <wp:effectExtent l="0" t="0" r="8890" b="14605"/>
              <wp:wrapNone/>
              <wp:docPr id="183" name="组合 183"/>
              <wp:cNvGraphicFramePr/>
              <a:graphic xmlns:a="http://schemas.openxmlformats.org/drawingml/2006/main">
                <a:graphicData uri="http://schemas.microsoft.com/office/word/2010/wordprocessingGroup">
                  <wpg:wgp>
                    <wpg:cNvGrpSpPr/>
                    <wpg:grpSpPr>
                      <a:xfrm>
                        <a:off x="0" y="0"/>
                        <a:ext cx="7553960" cy="480695"/>
                        <a:chOff x="881" y="505"/>
                        <a:chExt cx="11930" cy="1179"/>
                      </a:xfrm>
                    </wpg:grpSpPr>
                    <wps:wsp>
                      <wps:cNvPr id="184"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5"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6"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pt;margin-top:0pt;height:37.85pt;width:594.8pt;mso-position-horizontal-relative:page;mso-position-vertical-relative:page;z-index:251667456;mso-width-relative:page;mso-height-relative:page;" coordorigin="881,505" coordsize="11930,1179" o:gfxdata="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iPArrLoAAADc&#10;AAAADwAAAGRycy9kb3ducmV2LnhtbEVPzYrCMBC+C/sOYQQvsiaKinSNHhbFPSiiuw8wNGNT2kxK&#10;k/rz9htB8DYf3+8s13dXiyu1ofSsYTxSIIhzb0ouNPz9bj8XIEJENlh7Jg0PCrBeffSWmBl/4xNd&#10;z7EQKYRDhhpsjE0mZcgtOQwj3xAn7uJbhzHBtpCmxVsKd7WcKDWXDktODRYb+raUV+fOaeiCmXX2&#10;qKp9dZhz3LlNlQ+V1oP+WH2BiHSPb/HL/WPS/MUUns+kC+Tq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I8CusugAAANwA&#10;AAAPAAAAAAAAAAEAIAAAACIAAABkcnMvZG93bnJldi54bWxQSwECFAAUAAAACACHTuJAMy8FnjsA&#10;AAA5AAAAEAAAAAAAAAABACAAAAAJAQAAZHJzL3NoYXBleG1sLnhtbFBLBQYAAAAABgAGAFsBAACz&#10;Aw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2DRGRL0AAADc&#10;AAAADwAAAGRycy9kb3ducmV2LnhtbEVPS27CMBDdV+IO1lRi1zggWkKIQQiK2hW0kAOM4mk+xOMo&#10;dgm9fV2pErt5et/J1jfTiiv1rrasYBLFIIgLq2suFeTn/VMCwnlkja1lUvBDDtar0UOGqbYDf9L1&#10;5EsRQtilqKDyvkuldEVFBl1kO+LAfdneoA+wL6XucQjhppXTOH6RBmsODRV2tK2ouJy+jYLN4bjY&#10;fxRJXrbn+ZC/Nrv57K1Ravw4iZcgPN38XfzvftdhfvIMf8+EC+Tq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YNEZEvQAA&#10;ANwAAAAPAAAAAAAAAAEAIAAAACIAAABkcnMvZG93bnJldi54bWxQSwECFAAUAAAACACHTuJAMy8F&#10;njsAAAA5AAAAEAAAAAAAAAABACAAAAAMAQAAZHJzL3NoYXBleG1sLnhtbFBLBQYAAAAABgAGAFsB&#10;AAC2Aw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ziuxAbsAAADc&#10;AAAADwAAAGRycy9kb3ducmV2LnhtbEVP3WrCMBS+H+wdwhF2N5MK66QzFicMhniz6gMcmrOm2py0&#10;TVbd2xthsLvz8f2eVXl1nZhoDK1nDdlcgSCuvWm50XA8fDwvQYSIbLDzTBp+KUC5fnxYYWH8hb9o&#10;qmIjUgiHAjXYGPtCylBbchjmvidO3LcfHcYEx0aaES8p3HVyoVQuHbacGiz2tLVUn6sfp+Fl4v15&#10;sKrH9zhkdpOdduH1pPXTLFNvICJd47/4z/1p0vxlDvdn0gVyf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uxAbsAAADc&#10;AAAADwAAAAAAAAABACAAAAAiAAAAZHJzL2Rvd25yZXYueG1sUEsBAhQAFAAAAAgAh07iQDMvBZ47&#10;AAAAOQAAABAAAAAAAAAAAQAgAAAACgEAAGRycy9zaGFwZXhtbC54bWxQSwUGAAAAAAYABgBbAQAA&#10;tAM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mc:AlternateContent>
        <mc:Choice Requires="wpg">
          <w:drawing>
            <wp:anchor distT="0" distB="0" distL="114300" distR="114300" simplePos="0" relativeHeight="251668480" behindDoc="0" locked="0" layoutInCell="1" allowOverlap="1">
              <wp:simplePos x="0" y="0"/>
              <wp:positionH relativeFrom="page">
                <wp:posOffset>-27305</wp:posOffset>
              </wp:positionH>
              <wp:positionV relativeFrom="page">
                <wp:posOffset>598805</wp:posOffset>
              </wp:positionV>
              <wp:extent cx="2993390" cy="406400"/>
              <wp:effectExtent l="0" t="0" r="0" b="0"/>
              <wp:wrapNone/>
              <wp:docPr id="180" name="组合 180"/>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181"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2"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15pt;margin-top:47.15pt;height:32pt;width:235.7pt;mso-position-horizontal-relative:page;mso-position-vertical-relative:page;z-index:251668480;mso-width-relative:page;mso-height-relative:page;" coordorigin="1337,880" coordsize="3150,640"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">
              <o:lock v:ext="edit" aspectratio="f"/>
              <v:shape id="文本框 6" o:spid="_x0000_s1026" o:spt="202" type="#_x0000_t202" style="position:absolute;left:1401;top:880;height:641;width:3087;" filled="f" stroked="f" coordsize="21600,21600" o:gfxdata="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1Vq0+8AAAA&#10;3A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qZ8ilr0AAADc&#10;AAAADwAAAGRycy9kb3ducmV2LnhtbEWPQWsCMRCF7wX/Qxihl1KTlVa2q1FEKvTqKp6nm+nu4may&#10;JHHVf28EobcZ3nvfvFmsrrYTA/nQOtaQTRQI4sqZlmsNh/32PQcRIrLBzjFpuFGA1XL0ssDCuAvv&#10;aChjLRKEQ4Eamhj7QspQNWQxTFxPnLQ/5y3GtPpaGo+XBLednCo1kxZbThca7GnTUHUqzzZRDl/r&#10;T/md/2Yfb5tj7oes3Kmt1q/jTM1BRLrGf/Mz/WNS/XwKj2fSBHJ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pnyKWvQAA&#10;ANw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g">
          <w:drawing>
            <wp:anchor distT="0" distB="0" distL="114300" distR="114300" simplePos="0" relativeHeight="251670528" behindDoc="0" locked="0" layoutInCell="1" allowOverlap="1">
              <wp:simplePos x="0" y="0"/>
              <wp:positionH relativeFrom="page">
                <wp:align>left</wp:align>
              </wp:positionH>
              <wp:positionV relativeFrom="page">
                <wp:posOffset>377825</wp:posOffset>
              </wp:positionV>
              <wp:extent cx="2000250" cy="406400"/>
              <wp:effectExtent l="0" t="0" r="0" b="0"/>
              <wp:wrapNone/>
              <wp:docPr id="189" name="组合 189"/>
              <wp:cNvGraphicFramePr/>
              <a:graphic xmlns:a="http://schemas.openxmlformats.org/drawingml/2006/main">
                <a:graphicData uri="http://schemas.microsoft.com/office/word/2010/wordprocessingGroup">
                  <wpg:wgp>
                    <wpg:cNvGrpSpPr/>
                    <wpg:grpSpPr>
                      <a:xfrm>
                        <a:off x="0" y="0"/>
                        <a:ext cx="2000250" cy="406400"/>
                        <a:chOff x="1337" y="880"/>
                        <a:chExt cx="3150" cy="640"/>
                      </a:xfrm>
                    </wpg:grpSpPr>
                    <wps:wsp>
                      <wps:cNvPr id="190"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1"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top:29.75pt;height:32pt;width:157.5pt;mso-position-horizontal:left;mso-position-horizontal-relative:page;mso-position-vertical-relative:page;z-index:251670528;mso-width-relative:page;mso-height-relative:page;" coordorigin="1337,880" coordsize="3150,640"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">
              <o:lock v:ext="edit" aspectratio="f"/>
              <v:shape id="文本框 6" o:spid="_x0000_s1026" o:spt="202" type="#_x0000_t202" style="position:absolute;left:1401;top:880;height:641;width:3087;" filled="f" stroked="f" coordsize="21600,21600" o:gfxdata="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fAmAm/&#10;AAAA3A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3JQqPL0AAADc&#10;AAAADwAAAGRycy9kb3ducmV2LnhtbEWPQWsCMRCF74X+hzCFXoomKbWsq1GKKPTqKj2Pm3F36Way&#10;JHG1/74pFLzN8N775s1yfXO9GCnEzrMBPVUgiGtvO24MHA+7SQEiJmSLvWcy8EMR1qvHhyWW1l95&#10;T2OVGpEhHEs00KY0lFLGuiWHceoH4qydfXCY8hoaaQNeM9z18lWpd+mw43yhxYE2LdXf1cVlynH+&#10;MZPb4qTfXjZfRRh1tVc7Y56ftFqASHRLd/N/+tPm+nMNf8/kCeTq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clCo8vQAA&#10;ANw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r>
      <mc:AlternateContent>
        <mc:Choice Requires="wpg">
          <w:drawing>
            <wp:anchor distT="0" distB="0" distL="114300" distR="114300" simplePos="0" relativeHeight="251669504" behindDoc="0" locked="0" layoutInCell="1" allowOverlap="1">
              <wp:simplePos x="0" y="0"/>
              <wp:positionH relativeFrom="page">
                <wp:align>center</wp:align>
              </wp:positionH>
              <wp:positionV relativeFrom="topMargin">
                <wp:align>bottom</wp:align>
              </wp:positionV>
              <wp:extent cx="7575550" cy="748665"/>
              <wp:effectExtent l="0" t="0" r="6350" b="13335"/>
              <wp:wrapNone/>
              <wp:docPr id="192" name="组合 192"/>
              <wp:cNvGraphicFramePr/>
              <a:graphic xmlns:a="http://schemas.openxmlformats.org/drawingml/2006/main">
                <a:graphicData uri="http://schemas.microsoft.com/office/word/2010/wordprocessingGroup">
                  <wpg:wgp>
                    <wpg:cNvGrpSpPr/>
                    <wpg:grpSpPr>
                      <a:xfrm>
                        <a:off x="0" y="0"/>
                        <a:ext cx="7575550" cy="748665"/>
                        <a:chOff x="881" y="505"/>
                        <a:chExt cx="11930" cy="1179"/>
                      </a:xfrm>
                    </wpg:grpSpPr>
                    <wps:wsp>
                      <wps:cNvPr id="193"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94"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95"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100000</wp14:pctWidth>
              </wp14:sizeRelH>
              <wp14:sizeRelV relativeFrom="page">
                <wp14:pctHeight>0</wp14:pctHeight>
              </wp14:sizeRelV>
            </wp:anchor>
          </w:drawing>
        </mc:Choice>
        <mc:Fallback>
          <w:pict>
            <v:group id="_x0000_s1026" o:spid="_x0000_s1026" o:spt="203" style="position:absolute;left:0pt;margin-left:0pt;margin-top:0pt;height:58.95pt;width:596.5pt;mso-position-horizontal-relative:page;mso-position-vertical-relative:page;z-index:251669504;mso-width-relative:page;mso-height-relative:page;mso-width-percent:1000;" coordorigin="881,505" coordsize="11930,1179" o:gfxdata="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">
              <o:lock v:ext="edit" aspectratio="f"/>
              <v:rect id="矩形 2" o:spid="_x0000_s1026" o:spt="1" style="position:absolute;left:881;top:1538;height:146;width:11925;v-text-anchor:middle;" fillcolor="#FFD966 [1943]" filled="t" stroked="f" coordsize="21600,21600" o:gfxdata="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LAJQW8AAAA&#10;3A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MqF1ArsAAADc&#10;AAAADwAAAGRycy9kb3ducmV2LnhtbEVP24rCMBB9F/yHMIJvmiqyatco4gV9Ulf7AUMz29ZtJqWJ&#10;1v17Iwi+zeFcZ7Z4mFLcqXaFZQWDfgSCOLW64ExBctn2JiCcR9ZYWiYF/+RgMW+3Zhhr2/AP3c8+&#10;EyGEXYwKcu+rWEqX5mTQ9W1FHLhfWxv0AdaZ1DU2IdyUchhFX9JgwaEhx4pWOaV/55tRsDwcp9tT&#10;Okmy8jJuks11PR7trkp1O4PoG4Snh/+I3+69DvOnI3g9Ey6Q8y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qF1ArsAAADc&#10;AAAADwAAAAAAAAABACAAAAAiAAAAZHJzL2Rvd25yZXYueG1sUEsBAhQAFAAAAAgAh07iQDMvBZ47&#10;AAAAOQAAABAAAAAAAAAAAQAgAAAACgEAAGRycy9zaGFwZXhtbC54bWxQSwUGAAAAAAYABgBbAQAA&#10;tA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uyC5q7sAAADc&#10;AAAADwAAAGRycy9kb3ducmV2LnhtbEVP3WrCMBS+F/YO4Qx2p0mFzq0aZRMGY3ij2wMcmmNTbU7a&#10;Jqv69kYQvDsf3+9ZrM6uEQP1ofasIZsoEMSlNzVXGv5+v8ZvIEJENth4Jg0XCrBaPo0WWBh/4i0N&#10;u1iJFMKhQA02xraQMpSWHIaJb4kTt/e9w5hgX0nT4ymFu0ZOlXqVDmtODRZbWlsqj7t/pyEfeHPs&#10;rGrxM3aZ/cgOP2F20PrlOVNzEJHO8SG+u79Nmv+ew+2ZdIFcX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yC5q7sAAADc&#10;AAAADwAAAAAAAAABACAAAAAiAAAAZHJzL2Rvd25yZXYueG1sUEsBAhQAFAAAAAgAh07iQDMvBZ47&#10;AAAAOQAAABAAAAAAAAAAAQAgAAAACgEAAGRycy9zaGFwZXhtbC54bWxQSwUGAAAAAAYABgBbAQAA&#10;tAM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79744" behindDoc="1" locked="0" layoutInCell="1" allowOverlap="1">
              <wp:simplePos x="0" y="0"/>
              <wp:positionH relativeFrom="column">
                <wp:posOffset>-922655</wp:posOffset>
              </wp:positionH>
              <wp:positionV relativeFrom="page">
                <wp:posOffset>847725</wp:posOffset>
              </wp:positionV>
              <wp:extent cx="2933065" cy="407035"/>
              <wp:effectExtent l="0" t="0" r="0" b="0"/>
              <wp:wrapNone/>
              <wp:docPr id="23" name="文本框 6"/>
              <wp:cNvGraphicFramePr/>
              <a:graphic xmlns:a="http://schemas.openxmlformats.org/drawingml/2006/main">
                <a:graphicData uri="http://schemas.microsoft.com/office/word/2010/wordprocessingShape">
                  <wps:wsp>
                    <wps:cNvSpPr txBox="1"/>
                    <wps:spPr>
                      <a:xfrm>
                        <a:off x="0" y="0"/>
                        <a:ext cx="2933065" cy="407035"/>
                      </a:xfrm>
                      <a:prstGeom prst="rect">
                        <a:avLst/>
                      </a:prstGeom>
                      <a:noFill/>
                      <a:ln w="6350">
                        <a:noFill/>
                      </a:ln>
                      <a:effectLst/>
                    </wps:spPr>
                    <wps:txbx>
                      <w:txbxContent>
                        <w:p>
                          <w:pPr>
                            <w:rPr>
                              <w:rFonts w:ascii="微软雅黑" w:hAnsi="微软雅黑" w:eastAsia="微软雅黑" w:cs="微软雅黑"/>
                              <w:b/>
                              <w:bCs/>
                              <w:sz w:val="32"/>
                              <w:szCs w:val="4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6" o:spt="202" type="#_x0000_t202" style="position:absolute;left:0pt;margin-left:-72.65pt;margin-top:66.75pt;height:32.05pt;width:230.95pt;mso-position-vertical-relative:page;z-index:-251636736;mso-width-relative:page;mso-height-relative:page;" filled="f" stroked="f" coordsize="21600,21600" o:gfxdata="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CaouiO3QAAAAwBAAAPAAAAAAAAAAEA&#10;IAAAACIAAABkcnMvZG93bnJldi54bWxQSwECFAAUAAAACACHTuJAZZ+AP0MCAAB1BAAADgAAAAAA&#10;AAABACAAAAAsAQAAZHJzL2Uyb0RvYy54bWxQSwUGAAAAAAYABgBZAQAA4QUAAAAA&#10;">
              <v:fill on="f" focussize="0,0"/>
              <v:stroke on="f" weight="0.5pt"/>
              <v:imagedata o:title=""/>
              <o:lock v:ext="edit" aspectratio="f"/>
              <v:textbox>
                <w:txbxContent>
                  <w:p>
                    <w:pPr>
                      <w:rPr>
                        <w:rFonts w:ascii="微软雅黑" w:hAnsi="微软雅黑" w:eastAsia="微软雅黑" w:cs="微软雅黑"/>
                        <w:b/>
                        <w:bCs/>
                        <w:sz w:val="32"/>
                        <w:szCs w:val="40"/>
                      </w:rPr>
                    </w:pPr>
                  </w:p>
                </w:txbxContent>
              </v:textbox>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80768" behindDoc="1" locked="0" layoutInCell="1" allowOverlap="1">
              <wp:simplePos x="0" y="0"/>
              <wp:positionH relativeFrom="column">
                <wp:posOffset>1270</wp:posOffset>
              </wp:positionH>
              <wp:positionV relativeFrom="page">
                <wp:posOffset>542925</wp:posOffset>
              </wp:positionV>
              <wp:extent cx="2933065" cy="407035"/>
              <wp:effectExtent l="0" t="0" r="0" b="0"/>
              <wp:wrapNone/>
              <wp:docPr id="25" name="文本框 6"/>
              <wp:cNvGraphicFramePr/>
              <a:graphic xmlns:a="http://schemas.openxmlformats.org/drawingml/2006/main">
                <a:graphicData uri="http://schemas.microsoft.com/office/word/2010/wordprocessingShape">
                  <wps:wsp>
                    <wps:cNvSpPr txBox="1"/>
                    <wps:spPr>
                      <a:xfrm>
                        <a:off x="0" y="0"/>
                        <a:ext cx="2933065" cy="407035"/>
                      </a:xfrm>
                      <a:prstGeom prst="rect">
                        <a:avLst/>
                      </a:prstGeom>
                      <a:noFill/>
                      <a:ln w="6350">
                        <a:noFill/>
                      </a:ln>
                      <a:effectLst/>
                    </wps:spPr>
                    <wps:txbx>
                      <w:txbxContent>
                        <w:p>
                          <w:pPr>
                            <w:rPr>
                              <w:rFonts w:ascii="微软雅黑" w:hAnsi="微软雅黑" w:eastAsia="微软雅黑" w:cs="微软雅黑"/>
                              <w:b/>
                              <w:bCs/>
                              <w:sz w:val="32"/>
                              <w:szCs w:val="4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6" o:spt="202" type="#_x0000_t202" style="position:absolute;left:0pt;margin-left:0.1pt;margin-top:42.75pt;height:32.05pt;width:230.95pt;mso-position-vertical-relative:page;z-index:-251635712;mso-width-relative:page;mso-height-relative:page;" filled="f" stroked="f" coordsize="21600,21600" o:gfxdata="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rVPO82AAAAAcBAAAPAAAAAAAAAAEAIAAAACIA&#10;AABkcnMvZG93bnJldi54bWxQSwECFAAUAAAACACHTuJApg5DBkICAAB1BAAADgAAAAAAAAABACAA&#10;AAAnAQAAZHJzL2Uyb0RvYy54bWxQSwUGAAAAAAYABgBZAQAA2wUAAAAA&#10;">
              <v:fill on="f" focussize="0,0"/>
              <v:stroke on="f" weight="0.5pt"/>
              <v:imagedata o:title=""/>
              <o:lock v:ext="edit" aspectratio="f"/>
              <v:textbox>
                <w:txbxContent>
                  <w:p>
                    <w:pPr>
                      <w:rPr>
                        <w:rFonts w:ascii="微软雅黑" w:hAnsi="微软雅黑" w:eastAsia="微软雅黑" w:cs="微软雅黑"/>
                        <w:b/>
                        <w:bCs/>
                        <w:sz w:val="32"/>
                        <w:szCs w:val="40"/>
                      </w:rPr>
                    </w:pPr>
                  </w:p>
                </w:txbxContent>
              </v:textbox>
            </v:shape>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g">
          <w:drawing>
            <wp:anchor distT="0" distB="0" distL="114300" distR="114300" simplePos="0" relativeHeight="251676672" behindDoc="0" locked="0" layoutInCell="1" allowOverlap="1">
              <wp:simplePos x="0" y="0"/>
              <wp:positionH relativeFrom="page">
                <wp:posOffset>9525</wp:posOffset>
              </wp:positionH>
              <wp:positionV relativeFrom="topMargin">
                <wp:posOffset>307340</wp:posOffset>
              </wp:positionV>
              <wp:extent cx="7575550" cy="483235"/>
              <wp:effectExtent l="0" t="0" r="6350" b="12065"/>
              <wp:wrapNone/>
              <wp:docPr id="19" name="组合 19"/>
              <wp:cNvGraphicFramePr/>
              <a:graphic xmlns:a="http://schemas.openxmlformats.org/drawingml/2006/main">
                <a:graphicData uri="http://schemas.microsoft.com/office/word/2010/wordprocessingGroup">
                  <wpg:wgp>
                    <wpg:cNvGrpSpPr/>
                    <wpg:grpSpPr>
                      <a:xfrm>
                        <a:off x="0" y="0"/>
                        <a:ext cx="7575550" cy="483235"/>
                        <a:chOff x="881" y="505"/>
                        <a:chExt cx="11930" cy="1179"/>
                      </a:xfrm>
                    </wpg:grpSpPr>
                    <wps:wsp>
                      <wps:cNvPr id="2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100000</wp14:pctWidth>
              </wp14:sizeRelH>
              <wp14:sizeRelV relativeFrom="page">
                <wp14:pctHeight>0</wp14:pctHeight>
              </wp14:sizeRelV>
            </wp:anchor>
          </w:drawing>
        </mc:Choice>
        <mc:Fallback>
          <w:pict>
            <v:group id="_x0000_s1026" o:spid="_x0000_s1026" o:spt="203" style="position:absolute;left:0pt;margin-left:0pt;margin-top:0pt;height:38.05pt;width:596.5pt;mso-position-horizontal-relative:page;mso-position-vertical-relative:page;z-index:251676672;mso-width-relative:page;mso-height-relative:page;mso-width-percent:1000;" coordorigin="881,505" coordsize="11930,1179" o:gfxdata="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">
              <o:lock v:ext="edit" aspectratio="f"/>
              <v:rect id="矩形 2" o:spid="_x0000_s1026" o:spt="1" style="position:absolute;left:881;top:1538;height:146;width:11925;v-text-anchor:middle;" fillcolor="#FFD966 [1943]" filled="t" stroked="f" coordsize="21600,21600" o:gfxdata="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Teq+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JyNBIL4AAADb&#10;AAAADwAAAGRycy9kb3ducmV2LnhtbEWPzWrDMBCE74W8g9hAbo3sEJrUjWJC2tCemj8/wGJt/BNr&#10;ZSzVdt++KhR6HGbmG2aTjqYRPXWusqwgnkcgiHOrKy4UZNfD4xqE88gaG8uk4JscpNvJwwYTbQc+&#10;U3/xhQgQdgkqKL1vEyldXpJBN7ctcfButjPog+wKqTscAtw0chFFT9JgxWGhxJb2JeX3y5dRsPs8&#10;Ph9O+TormutqyN7q19XyvVZqNo2jFxCeRv8f/mt/aAWLGH6/hB8gt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yNBIL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R+5rsAAADb&#10;AAAADwAAAGRycy9kb3ducmV2LnhtbEWPUWvCMBSF3wf7D+EKvq1JC7pRjeKEwRi+qPsBl+baVJub&#10;2sTq/r0RhD0ezjnf4cyXN9eKgfrQeNaQZwoEceVNw7WG3/3X2weIEJENtp5Jwx8FWC5eX+ZYGn/l&#10;LQ27WIsE4VCiBhtjV0oZKksOQ+Y74uQdfO8wJtnX0vR4TXDXykKpqXTYcFqw2NHaUnXaXZyGycCb&#10;09mqDj/jOber/PgT3o9aj0e5moGIdIv/4Wf722goCnh8ST9ALu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5rsAAADb&#10;AAAADwAAAAAAAAABACAAAAAiAAAAZHJzL2Rvd25yZXYueG1sUEsBAhQAFAAAAAgAh07iQDMvBZ47&#10;AAAAOQAAABAAAAAAAAAAAQAgAAAACgEAAGRycy9zaGFwZXhtbC54bWxQSwUGAAAAAAYABgBbAQAA&#10;tAM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mc:AlternateContent>
        <mc:Choice Requires="wpg">
          <w:drawing>
            <wp:anchor distT="0" distB="0" distL="114300" distR="114300" simplePos="0" relativeHeight="251677696" behindDoc="0" locked="0" layoutInCell="1" allowOverlap="1">
              <wp:simplePos x="0" y="0"/>
              <wp:positionH relativeFrom="page">
                <wp:align>left</wp:align>
              </wp:positionH>
              <wp:positionV relativeFrom="page">
                <wp:posOffset>377825</wp:posOffset>
              </wp:positionV>
              <wp:extent cx="3228975" cy="406400"/>
              <wp:effectExtent l="0" t="0" r="0" b="0"/>
              <wp:wrapNone/>
              <wp:docPr id="16" name="组合 16"/>
              <wp:cNvGraphicFramePr/>
              <a:graphic xmlns:a="http://schemas.openxmlformats.org/drawingml/2006/main">
                <a:graphicData uri="http://schemas.microsoft.com/office/word/2010/wordprocessingGroup">
                  <wpg:wgp>
                    <wpg:cNvGrpSpPr/>
                    <wpg:grpSpPr>
                      <a:xfrm>
                        <a:off x="0" y="0"/>
                        <a:ext cx="3228975" cy="406400"/>
                        <a:chOff x="1337" y="880"/>
                        <a:chExt cx="3150" cy="640"/>
                      </a:xfrm>
                    </wpg:grpSpPr>
                    <wps:wsp>
                      <wps:cNvPr id="1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top:29.75pt;height:32pt;width:254.25pt;mso-position-horizontal:left;mso-position-horizontal-relative:page;mso-position-vertical-relative:page;z-index:251677696;mso-width-relative:page;mso-height-relative:page;" coordorigin="1337,880" coordsize="3150,640" o:gfxdata="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">
              <o:lock v:ext="edit" aspectratio="f"/>
              <v:shape id="文本框 6" o:spid="_x0000_s1026" o:spt="202" type="#_x0000_t202" style="position:absolute;left:1401;top:880;height:641;width:3087;" filled="f" stroked="f" coordsize="21600,21600" o:gfxdata="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TN0fS8AAAA&#10;2w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3ew3QLwAAADb&#10;AAAADwAAAGRycy9kb3ducmV2LnhtbEWPQWvDMAyF74P+B6PCLmO1M7aSZnXLKCvs2rT0rMVqEhbL&#10;wfbS7t9Ph8FuT+jp03vr7c0PaqKY+sAWioUBRdwE13Nr4XTcP5agUkZ2OAQmCz+UYLuZ3a2xcuHK&#10;B5rq3CqBcKrQQpfzWGmdmo48pkUYiWV3CdFjljG22kW8CtwP+smYpfbYs3zocKRdR81X/e2Fclq9&#10;vej38rN4ftidyzgV9cHsrb2fF+YVVKZb/jf/XX84iS9hpYsI0J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3sN0C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DB9A87"/>
    <w:multiLevelType w:val="singleLevel"/>
    <w:tmpl w:val="45DB9A87"/>
    <w:lvl w:ilvl="0" w:tentative="0">
      <w:start w:val="3"/>
      <w:numFmt w:val="chineseCounting"/>
      <w:suff w:val="nothing"/>
      <w:lvlText w:val="（%1）"/>
      <w:lvlJc w:val="left"/>
      <w:rPr>
        <w:rFonts w:hint="eastAsia"/>
      </w:rPr>
    </w:lvl>
  </w:abstractNum>
  <w:abstractNum w:abstractNumId="1">
    <w:nsid w:val="5B935148"/>
    <w:multiLevelType w:val="multilevel"/>
    <w:tmpl w:val="5B935148"/>
    <w:lvl w:ilvl="0" w:tentative="0">
      <w:start w:val="1"/>
      <w:numFmt w:val="japaneseCounting"/>
      <w:lvlText w:val="%1、"/>
      <w:lvlJc w:val="left"/>
      <w:pPr>
        <w:ind w:left="2000" w:hanging="72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abstractNum w:abstractNumId="2">
    <w:nsid w:val="73BA68AB"/>
    <w:multiLevelType w:val="multilevel"/>
    <w:tmpl w:val="73BA68AB"/>
    <w:lvl w:ilvl="0" w:tentative="0">
      <w:start w:val="1"/>
      <w:numFmt w:val="decimal"/>
      <w:lvlText w:val="%1."/>
      <w:lvlJc w:val="left"/>
      <w:pPr>
        <w:ind w:left="1640" w:hanging="36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wYjcxODNiNDFlYzllZjBiMjU0Mjg4ZjY5ZjZhMGMifQ=="/>
  </w:docVars>
  <w:rsids>
    <w:rsidRoot w:val="6AAF1C96"/>
    <w:rsid w:val="00031AFD"/>
    <w:rsid w:val="00063B3C"/>
    <w:rsid w:val="0007063E"/>
    <w:rsid w:val="00073392"/>
    <w:rsid w:val="00073F4E"/>
    <w:rsid w:val="00086C89"/>
    <w:rsid w:val="000A39FB"/>
    <w:rsid w:val="000B4CB9"/>
    <w:rsid w:val="000F6948"/>
    <w:rsid w:val="00117746"/>
    <w:rsid w:val="00163F95"/>
    <w:rsid w:val="001660EC"/>
    <w:rsid w:val="00180A9A"/>
    <w:rsid w:val="001829C0"/>
    <w:rsid w:val="00184809"/>
    <w:rsid w:val="00192112"/>
    <w:rsid w:val="001B0127"/>
    <w:rsid w:val="001C12D5"/>
    <w:rsid w:val="001C69F7"/>
    <w:rsid w:val="001D5772"/>
    <w:rsid w:val="001F08B0"/>
    <w:rsid w:val="002243B1"/>
    <w:rsid w:val="00264660"/>
    <w:rsid w:val="002650EC"/>
    <w:rsid w:val="002A6C46"/>
    <w:rsid w:val="002C19B5"/>
    <w:rsid w:val="002E2B08"/>
    <w:rsid w:val="00302870"/>
    <w:rsid w:val="00353677"/>
    <w:rsid w:val="003616D3"/>
    <w:rsid w:val="00361FF4"/>
    <w:rsid w:val="003976CD"/>
    <w:rsid w:val="003A4EE8"/>
    <w:rsid w:val="00400A48"/>
    <w:rsid w:val="00402909"/>
    <w:rsid w:val="00442CC2"/>
    <w:rsid w:val="00446244"/>
    <w:rsid w:val="00473C20"/>
    <w:rsid w:val="004A49EA"/>
    <w:rsid w:val="004D61CB"/>
    <w:rsid w:val="004E342D"/>
    <w:rsid w:val="005011D6"/>
    <w:rsid w:val="00503F2E"/>
    <w:rsid w:val="00536BC1"/>
    <w:rsid w:val="00552226"/>
    <w:rsid w:val="00566120"/>
    <w:rsid w:val="00567E10"/>
    <w:rsid w:val="00581358"/>
    <w:rsid w:val="00582E6D"/>
    <w:rsid w:val="005954D5"/>
    <w:rsid w:val="005A53FA"/>
    <w:rsid w:val="005C1BC4"/>
    <w:rsid w:val="005D1293"/>
    <w:rsid w:val="00644D5F"/>
    <w:rsid w:val="006727AD"/>
    <w:rsid w:val="00691425"/>
    <w:rsid w:val="006A0C81"/>
    <w:rsid w:val="006A516E"/>
    <w:rsid w:val="006B0130"/>
    <w:rsid w:val="006B0830"/>
    <w:rsid w:val="00716E2B"/>
    <w:rsid w:val="00770F18"/>
    <w:rsid w:val="00773B74"/>
    <w:rsid w:val="007816A4"/>
    <w:rsid w:val="0078290C"/>
    <w:rsid w:val="007B3440"/>
    <w:rsid w:val="007C06CA"/>
    <w:rsid w:val="007E5373"/>
    <w:rsid w:val="007F548D"/>
    <w:rsid w:val="008163FB"/>
    <w:rsid w:val="00822501"/>
    <w:rsid w:val="0082605B"/>
    <w:rsid w:val="00826F7E"/>
    <w:rsid w:val="008308FC"/>
    <w:rsid w:val="00846BD2"/>
    <w:rsid w:val="00855C36"/>
    <w:rsid w:val="00857DBE"/>
    <w:rsid w:val="008701BC"/>
    <w:rsid w:val="00883D92"/>
    <w:rsid w:val="00892D22"/>
    <w:rsid w:val="008A5362"/>
    <w:rsid w:val="008A6D6D"/>
    <w:rsid w:val="008C0020"/>
    <w:rsid w:val="008F21F1"/>
    <w:rsid w:val="008F221B"/>
    <w:rsid w:val="008F5A2D"/>
    <w:rsid w:val="00921602"/>
    <w:rsid w:val="00957EA1"/>
    <w:rsid w:val="00966E5B"/>
    <w:rsid w:val="00967F81"/>
    <w:rsid w:val="0097495D"/>
    <w:rsid w:val="009B4EF0"/>
    <w:rsid w:val="009C17C0"/>
    <w:rsid w:val="009C1802"/>
    <w:rsid w:val="009D271F"/>
    <w:rsid w:val="009F1CA8"/>
    <w:rsid w:val="00A929C2"/>
    <w:rsid w:val="00A94FBD"/>
    <w:rsid w:val="00AD097F"/>
    <w:rsid w:val="00B05994"/>
    <w:rsid w:val="00B844F4"/>
    <w:rsid w:val="00BA06A1"/>
    <w:rsid w:val="00BA770A"/>
    <w:rsid w:val="00BB255C"/>
    <w:rsid w:val="00BF177F"/>
    <w:rsid w:val="00BF7241"/>
    <w:rsid w:val="00C054DE"/>
    <w:rsid w:val="00C10413"/>
    <w:rsid w:val="00C14537"/>
    <w:rsid w:val="00C679A9"/>
    <w:rsid w:val="00C7541C"/>
    <w:rsid w:val="00C7666B"/>
    <w:rsid w:val="00CB571E"/>
    <w:rsid w:val="00CC0FAA"/>
    <w:rsid w:val="00CC19C4"/>
    <w:rsid w:val="00CC1C00"/>
    <w:rsid w:val="00CD0736"/>
    <w:rsid w:val="00CE5BFB"/>
    <w:rsid w:val="00D1570F"/>
    <w:rsid w:val="00D32830"/>
    <w:rsid w:val="00DB7153"/>
    <w:rsid w:val="00DB7F05"/>
    <w:rsid w:val="00DC34EF"/>
    <w:rsid w:val="00E028C3"/>
    <w:rsid w:val="00E14F77"/>
    <w:rsid w:val="00E3076B"/>
    <w:rsid w:val="00E36978"/>
    <w:rsid w:val="00E556F5"/>
    <w:rsid w:val="00E82A1E"/>
    <w:rsid w:val="00E9252D"/>
    <w:rsid w:val="00EA4CD1"/>
    <w:rsid w:val="00EC06F4"/>
    <w:rsid w:val="00EE4E36"/>
    <w:rsid w:val="00EF43D8"/>
    <w:rsid w:val="00F06F4A"/>
    <w:rsid w:val="00F248FD"/>
    <w:rsid w:val="00F32B76"/>
    <w:rsid w:val="00F665F4"/>
    <w:rsid w:val="00FD225F"/>
    <w:rsid w:val="00FF011D"/>
    <w:rsid w:val="06AB1F4D"/>
    <w:rsid w:val="086B0A15"/>
    <w:rsid w:val="0AAE2EE0"/>
    <w:rsid w:val="0C9A038E"/>
    <w:rsid w:val="0CF749A3"/>
    <w:rsid w:val="0F556966"/>
    <w:rsid w:val="13664A41"/>
    <w:rsid w:val="19D24272"/>
    <w:rsid w:val="1F3F4EA1"/>
    <w:rsid w:val="1FB22F8D"/>
    <w:rsid w:val="23CC2191"/>
    <w:rsid w:val="2DAD24EB"/>
    <w:rsid w:val="31C2036A"/>
    <w:rsid w:val="320D02A5"/>
    <w:rsid w:val="348E566F"/>
    <w:rsid w:val="3A226944"/>
    <w:rsid w:val="3AEE6A48"/>
    <w:rsid w:val="3C1620AA"/>
    <w:rsid w:val="3D8F080F"/>
    <w:rsid w:val="44CE1FA4"/>
    <w:rsid w:val="487F73ED"/>
    <w:rsid w:val="4A347EAE"/>
    <w:rsid w:val="52600405"/>
    <w:rsid w:val="529B4319"/>
    <w:rsid w:val="57773DD6"/>
    <w:rsid w:val="578B79AB"/>
    <w:rsid w:val="5CCD3FD5"/>
    <w:rsid w:val="5F8140EE"/>
    <w:rsid w:val="61AC094D"/>
    <w:rsid w:val="61FA5F9D"/>
    <w:rsid w:val="64CD6910"/>
    <w:rsid w:val="6789158D"/>
    <w:rsid w:val="67D81BA4"/>
    <w:rsid w:val="6AAF1C96"/>
    <w:rsid w:val="75681757"/>
    <w:rsid w:val="75A346A8"/>
    <w:rsid w:val="79B9382C"/>
    <w:rsid w:val="7B043B76"/>
    <w:rsid w:val="7C041A6A"/>
    <w:rsid w:val="7C944666"/>
    <w:rsid w:val="7DF97FB6"/>
    <w:rsid w:val="7E327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微软雅黑" w:hAnsi="微软雅黑" w:eastAsia="微软雅黑" w:cs="微软雅黑"/>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1"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Body Text"/>
    <w:basedOn w:val="1"/>
    <w:unhideWhenUsed/>
    <w:qFormat/>
    <w:uiPriority w:val="99"/>
    <w:rPr>
      <w:rFonts w:ascii="仿宋_GB2312" w:hAnsi="仿宋_GB2312" w:eastAsia="仿宋_GB2312" w:cs="仿宋_GB2312"/>
      <w:sz w:val="32"/>
      <w:szCs w:val="32"/>
      <w:lang w:val="zh-CN" w:bidi="zh-CN"/>
    </w:rPr>
  </w:style>
  <w:style w:type="paragraph" w:styleId="4">
    <w:name w:val="Balloon Text"/>
    <w:basedOn w:val="1"/>
    <w:link w:val="15"/>
    <w:semiHidden/>
    <w:unhideWhenUsed/>
    <w:uiPriority w:val="99"/>
    <w:rPr>
      <w:sz w:val="18"/>
      <w:szCs w:val="18"/>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table" w:styleId="8">
    <w:name w:val="Table Grid"/>
    <w:qFormat/>
    <w:uiPriority w:val="1"/>
    <w:rPr>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0">
    <w:name w:val="页眉 Char"/>
    <w:basedOn w:val="9"/>
    <w:link w:val="6"/>
    <w:qFormat/>
    <w:uiPriority w:val="99"/>
    <w:rPr>
      <w:rFonts w:asciiTheme="minorHAnsi" w:hAnsiTheme="minorHAnsi" w:eastAsiaTheme="minorEastAsia"/>
      <w:sz w:val="18"/>
      <w:szCs w:val="18"/>
    </w:rPr>
  </w:style>
  <w:style w:type="character" w:customStyle="1" w:styleId="11">
    <w:name w:val="页脚 Char"/>
    <w:basedOn w:val="9"/>
    <w:link w:val="5"/>
    <w:qFormat/>
    <w:uiPriority w:val="99"/>
    <w:rPr>
      <w:sz w:val="18"/>
      <w:szCs w:val="18"/>
    </w:rPr>
  </w:style>
  <w:style w:type="paragraph" w:customStyle="1" w:styleId="12">
    <w:name w:val="列出段落1"/>
    <w:basedOn w:val="1"/>
    <w:qFormat/>
    <w:uiPriority w:val="1"/>
    <w:pPr>
      <w:spacing w:before="2"/>
      <w:ind w:left="119" w:right="434" w:firstLine="643"/>
    </w:pPr>
    <w:rPr>
      <w:rFonts w:ascii="仿宋_GB2312" w:hAnsi="仿宋_GB2312" w:eastAsia="仿宋_GB2312" w:cs="仿宋_GB2312"/>
      <w:lang w:val="zh-CN" w:bidi="zh-CN"/>
    </w:rPr>
  </w:style>
  <w:style w:type="paragraph" w:styleId="13">
    <w:name w:val="List Paragraph"/>
    <w:basedOn w:val="1"/>
    <w:qFormat/>
    <w:uiPriority w:val="99"/>
    <w:pPr>
      <w:ind w:firstLine="420" w:firstLineChars="200"/>
    </w:pPr>
  </w:style>
  <w:style w:type="paragraph" w:customStyle="1" w:styleId="14">
    <w:name w:val="石墨文档正文"/>
    <w:qFormat/>
    <w:uiPriority w:val="0"/>
    <w:rPr>
      <w:rFonts w:ascii="微软雅黑" w:hAnsi="微软雅黑" w:eastAsia="微软雅黑" w:cs="微软雅黑"/>
      <w:sz w:val="22"/>
      <w:szCs w:val="22"/>
      <w:lang w:val="en-US" w:eastAsia="zh-CN" w:bidi="ar-SA"/>
    </w:rPr>
  </w:style>
  <w:style w:type="character" w:customStyle="1" w:styleId="15">
    <w:name w:val="批注框文本 Char"/>
    <w:basedOn w:val="9"/>
    <w:link w:val="4"/>
    <w:semiHidden/>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bmp"/><Relationship Id="rId25" Type="http://schemas.openxmlformats.org/officeDocument/2006/relationships/theme" Target="theme/theme1.xml"/><Relationship Id="rId24" Type="http://schemas.openxmlformats.org/officeDocument/2006/relationships/footer" Target="footer8.xml"/><Relationship Id="rId23" Type="http://schemas.openxmlformats.org/officeDocument/2006/relationships/header" Target="header14.xml"/><Relationship Id="rId22" Type="http://schemas.openxmlformats.org/officeDocument/2006/relationships/header" Target="header13.xml"/><Relationship Id="rId21" Type="http://schemas.openxmlformats.org/officeDocument/2006/relationships/header" Target="header12.xml"/><Relationship Id="rId20" Type="http://schemas.openxmlformats.org/officeDocument/2006/relationships/header" Target="header11.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mingxin\AppData\Roaming\kingsoft\office6\templates\download\5185bd05-a416-9a0b-b3d5-d2d8db942b83\&#31616;&#32422;&#25991;&#26723;&#23553;&#38754;&#27169;&#26495;.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noFill/>
        </a:ln>
      </a:spPr>
      <a:bodyPr rot="0" spcFirstLastPara="0" vertOverflow="overflow" horzOverflow="overflow" vert="horz" wrap="square" lIns="91440" tIns="45720" rIns="91440" bIns="45720" numCol="1" spcCol="0" rtlCol="0" fromWordArt="0" anchor="t" anchorCtr="0" forceAA="0" compatLnSpc="1">
        <a:noAutofit/>
      </a:bodyPr>
      <a:lstStyle/>
      <a:style>
        <a:lnRef idx="0">
          <a:schemeClr val="accent1"/>
        </a:lnRef>
        <a:fillRef idx="0">
          <a:schemeClr val="accent1"/>
        </a:fillRef>
        <a:effectRef idx="0">
          <a:schemeClr val="accent1"/>
        </a:effectRef>
        <a:fontRef idx="minor">
          <a:schemeClr val="dk1"/>
        </a:fontRef>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19AD194-BCD3-4EC3-90CA-50104998D7E7}">
  <ds:schemaRefs/>
</ds:datastoreItem>
</file>

<file path=docProps/app.xml><?xml version="1.0" encoding="utf-8"?>
<Properties xmlns="http://schemas.openxmlformats.org/officeDocument/2006/extended-properties" xmlns:vt="http://schemas.openxmlformats.org/officeDocument/2006/docPropsVTypes">
  <Template>简约文档封面模板</Template>
  <Company>Microsoft</Company>
  <Pages>26</Pages>
  <Words>1264</Words>
  <Characters>7206</Characters>
  <Lines>60</Lines>
  <Paragraphs>16</Paragraphs>
  <TotalTime>3</TotalTime>
  <ScaleCrop>false</ScaleCrop>
  <LinksUpToDate>false</LinksUpToDate>
  <CharactersWithSpaces>8454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2023-11-16T07:09:00Z</dcterms:created>
  <dc:creator>王明新TIAD</dc:creator>
  <cp:lastModifiedBy>lenovo399</cp:lastModifiedBy>
  <cp:lastPrinted>2020-07-30T02:37:00Z</cp:lastPrinted>
  <dcterms:modified xsi:type="dcterms:W3CDTF">2024-10-28T08:01:05Z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4C8506EE408D43A48AFAD58C78275236_13</vt:lpwstr>
  </property>
</Properties>
</file>