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4"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永清县</w:t>
      </w:r>
      <w:r>
        <w:rPr>
          <w:rFonts w:hint="eastAsia" w:ascii="Times New Roman" w:hAnsi="Times New Roman" w:eastAsia="方正小标宋简体" w:cs="Times New Roman"/>
          <w:sz w:val="44"/>
          <w:szCs w:val="44"/>
          <w:lang w:eastAsia="zh-CN"/>
        </w:rPr>
        <w:t>档案馆</w:t>
      </w:r>
      <w:r>
        <w:rPr>
          <w:rFonts w:ascii="Times New Roman" w:hAnsi="Times New Roman" w:eastAsia="方正小标宋简体" w:cs="Times New Roman"/>
          <w:sz w:val="44"/>
          <w:szCs w:val="44"/>
        </w:rPr>
        <w:t>2023年部门预算信息公开</w:t>
      </w:r>
    </w:p>
    <w:p>
      <w:pPr>
        <w:spacing w:line="584" w:lineRule="exact"/>
        <w:jc w:val="center"/>
        <w:rPr>
          <w:rFonts w:ascii="Times New Roman" w:hAnsi="Times New Roman" w:eastAsia="方正小标宋简体" w:cs="Times New Roman"/>
          <w:sz w:val="44"/>
          <w:szCs w:val="44"/>
        </w:rPr>
      </w:pPr>
      <w:r>
        <w:rPr>
          <w:rFonts w:hint="eastAsia" w:ascii="Times New Roman" w:hAnsi="Times New Roman" w:eastAsia="方正小标宋简体" w:cs="Times New Roman"/>
          <w:sz w:val="44"/>
          <w:szCs w:val="44"/>
        </w:rPr>
        <w:t>情况说明</w:t>
      </w:r>
    </w:p>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按照《中华人民共和国预算法》、《中华人民共和国预算法实施条例》、《地方预决算公开操作规程》和《河北省省级预算公开办法》规定，现将永清县</w:t>
      </w:r>
      <w:r>
        <w:rPr>
          <w:rFonts w:hint="eastAsia" w:ascii="Times New Roman" w:hAnsi="Times New Roman" w:eastAsia="仿宋_GB2312" w:cs="Times New Roman"/>
          <w:sz w:val="32"/>
          <w:szCs w:val="32"/>
          <w:lang w:eastAsia="zh-CN"/>
        </w:rPr>
        <w:t>档案馆</w:t>
      </w:r>
      <w:r>
        <w:rPr>
          <w:rFonts w:ascii="Times New Roman" w:hAnsi="Times New Roman" w:eastAsia="仿宋_GB2312" w:cs="Times New Roman"/>
          <w:sz w:val="32"/>
          <w:szCs w:val="32"/>
        </w:rPr>
        <w:t>2023年部门预算公开如下：</w:t>
      </w:r>
    </w:p>
    <w:p>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一、部门职责及机构设置情况</w:t>
      </w:r>
    </w:p>
    <w:p>
      <w:pPr>
        <w:spacing w:line="584" w:lineRule="exact"/>
        <w:ind w:firstLine="643" w:firstLineChars="200"/>
        <w:rPr>
          <w:rFonts w:ascii="Times New Roman" w:hAnsi="Times New Roman" w:eastAsia="楷体_GB2312" w:cs="Times New Roman"/>
          <w:b/>
          <w:sz w:val="32"/>
          <w:szCs w:val="32"/>
        </w:rPr>
      </w:pPr>
      <w:r>
        <w:rPr>
          <w:rFonts w:ascii="Times New Roman" w:hAnsi="Times New Roman" w:eastAsia="楷体_GB2312" w:cs="Times New Roman"/>
          <w:b/>
          <w:sz w:val="32"/>
          <w:szCs w:val="32"/>
        </w:rPr>
        <w:t>部门职责：</w:t>
      </w:r>
    </w:p>
    <w:p>
      <w:pPr>
        <w:spacing w:line="600" w:lineRule="exact"/>
        <w:ind w:firstLine="629"/>
        <w:rPr>
          <w:rFonts w:hint="eastAsia" w:ascii="仿宋_GB2312" w:eastAsia="仿宋_GB2312"/>
          <w:sz w:val="32"/>
          <w:szCs w:val="32"/>
        </w:rPr>
      </w:pPr>
      <w:r>
        <w:rPr>
          <w:rFonts w:hint="eastAsia" w:ascii="仿宋_GB2312" w:eastAsia="仿宋_GB2312"/>
          <w:sz w:val="32"/>
          <w:szCs w:val="32"/>
        </w:rPr>
        <w:t>县档案馆的主要职责是：</w:t>
      </w:r>
    </w:p>
    <w:p>
      <w:pPr>
        <w:spacing w:line="600" w:lineRule="exact"/>
        <w:ind w:firstLine="629"/>
        <w:rPr>
          <w:rFonts w:hint="eastAsia" w:ascii="仿宋_GB2312" w:eastAsia="仿宋_GB2312"/>
          <w:sz w:val="32"/>
          <w:szCs w:val="32"/>
        </w:rPr>
      </w:pPr>
      <w:r>
        <w:rPr>
          <w:rFonts w:hint="eastAsia" w:ascii="仿宋_GB2312" w:eastAsia="仿宋_GB2312"/>
          <w:sz w:val="32"/>
          <w:szCs w:val="32"/>
        </w:rPr>
        <w:t>（一）贯彻执行国家、省、市、县有关档案管理的法律、法规、规章。</w:t>
      </w:r>
    </w:p>
    <w:p>
      <w:pPr>
        <w:spacing w:line="600" w:lineRule="exact"/>
        <w:ind w:firstLine="629"/>
        <w:rPr>
          <w:rFonts w:hint="eastAsia" w:ascii="仿宋_GB2312" w:eastAsia="仿宋_GB2312"/>
          <w:sz w:val="32"/>
          <w:szCs w:val="32"/>
        </w:rPr>
      </w:pPr>
      <w:r>
        <w:rPr>
          <w:rFonts w:hint="eastAsia" w:ascii="仿宋_GB2312" w:eastAsia="仿宋_GB2312"/>
          <w:sz w:val="32"/>
          <w:szCs w:val="32"/>
        </w:rPr>
        <w:t>（二）集中统一管理全县各乡镇、县直各机关单位各历史时期的档案资料，保守党和国家机密，维护档案完整，确保档案资料安全。</w:t>
      </w:r>
    </w:p>
    <w:p>
      <w:pPr>
        <w:spacing w:line="600" w:lineRule="exact"/>
        <w:rPr>
          <w:rFonts w:hint="eastAsia" w:ascii="仿宋_GB2312" w:eastAsia="仿宋_GB2312"/>
          <w:sz w:val="32"/>
          <w:szCs w:val="32"/>
        </w:rPr>
      </w:pPr>
      <w:r>
        <w:rPr>
          <w:rFonts w:hint="eastAsia" w:ascii="仿宋_GB2312" w:eastAsia="仿宋_GB2312"/>
          <w:sz w:val="32"/>
          <w:szCs w:val="32"/>
        </w:rPr>
        <w:t xml:space="preserve">    （三）接收县委、县人大、县政府、县政协、县纪委监委及各乡镇、县直各机关单位应进馆的档案资料。</w:t>
      </w:r>
    </w:p>
    <w:p>
      <w:pPr>
        <w:spacing w:line="600" w:lineRule="exact"/>
        <w:rPr>
          <w:rFonts w:hint="eastAsia" w:ascii="仿宋_GB2312" w:eastAsia="仿宋_GB2312"/>
          <w:sz w:val="32"/>
          <w:szCs w:val="32"/>
        </w:rPr>
      </w:pPr>
      <w:r>
        <w:rPr>
          <w:rFonts w:hint="eastAsia" w:ascii="仿宋_GB2312" w:eastAsia="仿宋_GB2312"/>
          <w:sz w:val="32"/>
          <w:szCs w:val="32"/>
        </w:rPr>
        <w:t xml:space="preserve">    （四）征集散存在社会上对国家和社会有保存价值的珍贵档案资料。</w:t>
      </w:r>
    </w:p>
    <w:p>
      <w:pPr>
        <w:spacing w:line="600" w:lineRule="exact"/>
        <w:ind w:firstLine="629"/>
        <w:rPr>
          <w:rFonts w:hint="eastAsia" w:ascii="仿宋_GB2312" w:eastAsia="仿宋_GB2312"/>
          <w:sz w:val="32"/>
          <w:szCs w:val="32"/>
        </w:rPr>
      </w:pPr>
      <w:r>
        <w:rPr>
          <w:rFonts w:hint="eastAsia" w:ascii="仿宋_GB2312" w:eastAsia="仿宋_GB2312"/>
          <w:sz w:val="32"/>
          <w:szCs w:val="32"/>
        </w:rPr>
        <w:t xml:space="preserve">（五）负责馆藏档案资料的整理、编目、鉴定、统计和技术保护工作。    </w:t>
      </w:r>
    </w:p>
    <w:p>
      <w:pPr>
        <w:spacing w:line="600" w:lineRule="exact"/>
        <w:ind w:firstLine="629"/>
        <w:rPr>
          <w:rFonts w:hint="eastAsia" w:ascii="仿宋_GB2312" w:eastAsia="仿宋_GB2312"/>
          <w:sz w:val="32"/>
          <w:szCs w:val="32"/>
        </w:rPr>
      </w:pPr>
      <w:r>
        <w:rPr>
          <w:rFonts w:hint="eastAsia" w:ascii="仿宋_GB2312" w:eastAsia="仿宋_GB2312"/>
          <w:sz w:val="32"/>
          <w:szCs w:val="32"/>
        </w:rPr>
        <w:t>（六）依法开放档案，为党和政府及社会各方面提供利用服务。</w:t>
      </w:r>
    </w:p>
    <w:p>
      <w:pPr>
        <w:spacing w:line="600" w:lineRule="exact"/>
        <w:ind w:firstLine="629"/>
        <w:rPr>
          <w:rFonts w:hint="eastAsia" w:ascii="仿宋_GB2312" w:eastAsia="仿宋_GB2312"/>
          <w:sz w:val="32"/>
          <w:szCs w:val="32"/>
        </w:rPr>
      </w:pPr>
      <w:r>
        <w:rPr>
          <w:rFonts w:hint="eastAsia" w:ascii="仿宋_GB2312" w:eastAsia="仿宋_GB2312"/>
          <w:sz w:val="32"/>
          <w:szCs w:val="32"/>
        </w:rPr>
        <w:t>（七）承担政府公开信息的收集、管理和集中查阅工作。</w:t>
      </w:r>
    </w:p>
    <w:p>
      <w:pPr>
        <w:spacing w:line="600" w:lineRule="exact"/>
        <w:ind w:firstLine="629"/>
        <w:rPr>
          <w:rFonts w:hint="eastAsia" w:ascii="仿宋_GB2312" w:eastAsia="仿宋_GB2312"/>
          <w:sz w:val="32"/>
          <w:szCs w:val="32"/>
        </w:rPr>
      </w:pPr>
      <w:r>
        <w:rPr>
          <w:rFonts w:hint="eastAsia" w:ascii="仿宋_GB2312" w:eastAsia="仿宋_GB2312"/>
          <w:sz w:val="32"/>
          <w:szCs w:val="32"/>
        </w:rPr>
        <w:t>（八）开发档案信息资源，开展档案史料编研出版、展览陈列和社会教育活动。</w:t>
      </w:r>
    </w:p>
    <w:p>
      <w:pPr>
        <w:spacing w:line="600" w:lineRule="exact"/>
        <w:ind w:firstLine="629"/>
        <w:rPr>
          <w:rFonts w:hint="eastAsia" w:ascii="仿宋_GB2312" w:eastAsia="仿宋_GB2312"/>
          <w:sz w:val="32"/>
          <w:szCs w:val="32"/>
        </w:rPr>
      </w:pPr>
      <w:r>
        <w:rPr>
          <w:rFonts w:hint="eastAsia" w:ascii="仿宋_GB2312" w:eastAsia="仿宋_GB2312"/>
          <w:sz w:val="32"/>
          <w:szCs w:val="32"/>
        </w:rPr>
        <w:t>（九）运用现代化技术手段，开展馆藏档案信息化建设。</w:t>
      </w:r>
    </w:p>
    <w:p>
      <w:pPr>
        <w:spacing w:line="600" w:lineRule="exact"/>
        <w:rPr>
          <w:rFonts w:hint="eastAsia" w:ascii="仿宋_GB2312" w:eastAsia="仿宋_GB2312"/>
          <w:sz w:val="32"/>
          <w:szCs w:val="32"/>
        </w:rPr>
      </w:pPr>
      <w:r>
        <w:rPr>
          <w:rFonts w:hint="eastAsia" w:ascii="仿宋_GB2312" w:eastAsia="仿宋_GB2312"/>
          <w:sz w:val="32"/>
          <w:szCs w:val="32"/>
        </w:rPr>
        <w:t xml:space="preserve">    （十）完成县委交办的其他任务。</w:t>
      </w:r>
    </w:p>
    <w:p>
      <w:pPr>
        <w:autoSpaceDE w:val="0"/>
        <w:autoSpaceDN w:val="0"/>
        <w:adjustRightInd w:val="0"/>
        <w:spacing w:line="584" w:lineRule="exact"/>
        <w:ind w:firstLine="630" w:firstLineChars="196"/>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机构设置：</w:t>
      </w:r>
    </w:p>
    <w:p>
      <w:pPr>
        <w:spacing w:line="584" w:lineRule="exact"/>
        <w:jc w:val="center"/>
        <w:outlineLvl w:val="0"/>
        <w:rPr>
          <w:rFonts w:ascii="Times New Roman" w:hAnsi="Times New Roman" w:eastAsia="仿宋_GB2312" w:cs="Times New Roman"/>
          <w:b/>
          <w:sz w:val="32"/>
          <w:szCs w:val="24"/>
        </w:rPr>
      </w:pPr>
      <w:r>
        <w:rPr>
          <w:rFonts w:ascii="Times New Roman" w:hAnsi="Times New Roman" w:eastAsia="仿宋_GB2312" w:cs="Times New Roman"/>
          <w:b/>
          <w:sz w:val="32"/>
          <w:szCs w:val="24"/>
        </w:rPr>
        <w:t>部门机构设置情况</w:t>
      </w:r>
    </w:p>
    <w:tbl>
      <w:tblPr>
        <w:tblStyle w:val="8"/>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单位名称</w:t>
            </w:r>
          </w:p>
        </w:tc>
        <w:tc>
          <w:tcPr>
            <w:tcW w:w="1134"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单位性质</w:t>
            </w:r>
          </w:p>
        </w:tc>
        <w:tc>
          <w:tcPr>
            <w:tcW w:w="1276"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单位规格</w:t>
            </w:r>
          </w:p>
        </w:tc>
        <w:tc>
          <w:tcPr>
            <w:tcW w:w="2902"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1134"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1276"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2902"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84" w:lineRule="exact"/>
              <w:jc w:val="center"/>
              <w:rPr>
                <w:rFonts w:ascii="Times New Roman" w:hAnsi="Times New Roman" w:eastAsia="仿宋_GB2312" w:cs="Times New Roman"/>
                <w:b/>
              </w:rPr>
            </w:pPr>
            <w:r>
              <w:rPr>
                <w:rFonts w:hint="eastAsia" w:ascii="仿宋" w:hAnsi="仿宋" w:eastAsia="仿宋" w:cs="仿宋"/>
                <w:b/>
                <w:sz w:val="32"/>
                <w:szCs w:val="32"/>
              </w:rPr>
              <w:t>永清县档案馆</w:t>
            </w:r>
          </w:p>
        </w:tc>
        <w:tc>
          <w:tcPr>
            <w:tcW w:w="1134" w:type="dxa"/>
            <w:shd w:val="clear" w:color="auto" w:fill="auto"/>
            <w:vAlign w:val="center"/>
          </w:tcPr>
          <w:p>
            <w:pPr>
              <w:spacing w:line="584" w:lineRule="exact"/>
              <w:jc w:val="center"/>
              <w:rPr>
                <w:rFonts w:ascii="Times New Roman" w:hAnsi="Times New Roman" w:eastAsia="仿宋_GB2312" w:cs="Times New Roman"/>
                <w:b/>
              </w:rPr>
            </w:pPr>
            <w:r>
              <w:rPr>
                <w:rFonts w:hint="eastAsia" w:ascii="仿宋" w:hAnsi="仿宋" w:eastAsia="仿宋" w:cs="仿宋"/>
                <w:b/>
                <w:sz w:val="32"/>
                <w:szCs w:val="32"/>
              </w:rPr>
              <w:t>事业</w:t>
            </w:r>
          </w:p>
        </w:tc>
        <w:tc>
          <w:tcPr>
            <w:tcW w:w="1276" w:type="dxa"/>
            <w:shd w:val="clear" w:color="auto" w:fill="auto"/>
            <w:vAlign w:val="center"/>
          </w:tcPr>
          <w:p>
            <w:pPr>
              <w:spacing w:line="584" w:lineRule="exact"/>
              <w:jc w:val="center"/>
              <w:rPr>
                <w:rFonts w:ascii="Times New Roman" w:hAnsi="Times New Roman" w:eastAsia="仿宋_GB2312" w:cs="Times New Roman"/>
                <w:b/>
              </w:rPr>
            </w:pPr>
            <w:r>
              <w:rPr>
                <w:rFonts w:hint="eastAsia" w:ascii="仿宋" w:hAnsi="仿宋" w:eastAsia="仿宋" w:cs="仿宋"/>
                <w:b/>
                <w:sz w:val="32"/>
                <w:szCs w:val="32"/>
              </w:rPr>
              <w:t>正科级</w:t>
            </w:r>
          </w:p>
        </w:tc>
        <w:tc>
          <w:tcPr>
            <w:tcW w:w="2902" w:type="dxa"/>
            <w:shd w:val="clear" w:color="auto" w:fill="auto"/>
            <w:vAlign w:val="center"/>
          </w:tcPr>
          <w:p>
            <w:pPr>
              <w:spacing w:line="584" w:lineRule="exact"/>
              <w:jc w:val="center"/>
              <w:rPr>
                <w:rFonts w:hint="eastAsia" w:ascii="Times New Roman" w:hAnsi="Times New Roman" w:eastAsia="仿宋" w:cs="Times New Roman"/>
                <w:b/>
                <w:lang w:eastAsia="zh-CN"/>
              </w:rPr>
            </w:pPr>
            <w:r>
              <w:rPr>
                <w:rFonts w:hint="eastAsia" w:ascii="仿宋" w:hAnsi="仿宋" w:eastAsia="仿宋" w:cs="仿宋"/>
                <w:b/>
                <w:sz w:val="32"/>
                <w:szCs w:val="32"/>
              </w:rPr>
              <w:t>财政性资金基本保证</w:t>
            </w:r>
            <w:r>
              <w:rPr>
                <w:rFonts w:hint="eastAsia" w:ascii="仿宋" w:hAnsi="仿宋" w:eastAsia="仿宋" w:cs="仿宋"/>
                <w:b/>
                <w:sz w:val="32"/>
                <w:szCs w:val="32"/>
                <w:lang w:eastAsia="zh-CN"/>
              </w:rPr>
              <w:t>（全额事业）</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bCs/>
                <w:sz w:val="32"/>
                <w:szCs w:val="32"/>
              </w:rPr>
              <w:t>办公室</w:t>
            </w:r>
          </w:p>
        </w:tc>
        <w:tc>
          <w:tcPr>
            <w:tcW w:w="1134"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sz w:val="32"/>
                <w:szCs w:val="32"/>
              </w:rPr>
              <w:t>事业</w:t>
            </w:r>
          </w:p>
        </w:tc>
        <w:tc>
          <w:tcPr>
            <w:tcW w:w="1276"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sz w:val="32"/>
                <w:szCs w:val="32"/>
              </w:rPr>
              <w:t>正股级</w:t>
            </w:r>
          </w:p>
        </w:tc>
        <w:tc>
          <w:tcPr>
            <w:tcW w:w="2902" w:type="dxa"/>
            <w:shd w:val="clear" w:color="auto" w:fill="auto"/>
            <w:vAlign w:val="center"/>
          </w:tcPr>
          <w:p>
            <w:pPr>
              <w:spacing w:line="584" w:lineRule="exact"/>
              <w:jc w:val="center"/>
              <w:rPr>
                <w:rFonts w:hint="eastAsia" w:ascii="Times New Roman" w:hAnsi="Times New Roman" w:eastAsia="仿宋" w:cs="Times New Roman"/>
                <w:lang w:eastAsia="zh-CN"/>
              </w:rPr>
            </w:pPr>
            <w:r>
              <w:rPr>
                <w:rFonts w:hint="eastAsia" w:ascii="仿宋" w:hAnsi="仿宋" w:eastAsia="仿宋" w:cs="仿宋"/>
                <w:b/>
                <w:sz w:val="32"/>
                <w:szCs w:val="32"/>
              </w:rPr>
              <w:t>财政性资金基本保证</w:t>
            </w:r>
            <w:r>
              <w:rPr>
                <w:rFonts w:hint="eastAsia" w:ascii="仿宋" w:hAnsi="仿宋" w:eastAsia="仿宋" w:cs="仿宋"/>
                <w:b/>
                <w:sz w:val="32"/>
                <w:szCs w:val="32"/>
                <w:lang w:eastAsia="zh-CN"/>
              </w:rPr>
              <w:t>（全额事业）</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bCs/>
                <w:sz w:val="32"/>
                <w:szCs w:val="32"/>
              </w:rPr>
              <w:t>接收征集</w:t>
            </w:r>
            <w:r>
              <w:rPr>
                <w:rFonts w:hint="eastAsia" w:ascii="仿宋" w:hAnsi="仿宋" w:eastAsia="仿宋" w:cs="仿宋"/>
                <w:b/>
                <w:bCs/>
                <w:sz w:val="32"/>
                <w:szCs w:val="32"/>
                <w:lang w:eastAsia="zh-CN"/>
              </w:rPr>
              <w:t>股</w:t>
            </w:r>
          </w:p>
        </w:tc>
        <w:tc>
          <w:tcPr>
            <w:tcW w:w="1134"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sz w:val="32"/>
                <w:szCs w:val="32"/>
              </w:rPr>
              <w:t>事业</w:t>
            </w:r>
          </w:p>
        </w:tc>
        <w:tc>
          <w:tcPr>
            <w:tcW w:w="1276"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sz w:val="32"/>
                <w:szCs w:val="32"/>
              </w:rPr>
              <w:t>正股级</w:t>
            </w:r>
          </w:p>
        </w:tc>
        <w:tc>
          <w:tcPr>
            <w:tcW w:w="2902" w:type="dxa"/>
            <w:shd w:val="clear" w:color="auto" w:fill="auto"/>
            <w:vAlign w:val="center"/>
          </w:tcPr>
          <w:p>
            <w:pPr>
              <w:spacing w:line="584" w:lineRule="exact"/>
              <w:jc w:val="center"/>
              <w:rPr>
                <w:rFonts w:hint="eastAsia" w:ascii="Times New Roman" w:hAnsi="Times New Roman" w:eastAsia="仿宋" w:cs="Times New Roman"/>
                <w:lang w:eastAsia="zh-CN"/>
              </w:rPr>
            </w:pPr>
            <w:r>
              <w:rPr>
                <w:rFonts w:hint="eastAsia" w:ascii="仿宋" w:hAnsi="仿宋" w:eastAsia="仿宋" w:cs="仿宋"/>
                <w:b/>
                <w:sz w:val="32"/>
                <w:szCs w:val="32"/>
              </w:rPr>
              <w:t>财政性资金基本保证</w:t>
            </w:r>
            <w:r>
              <w:rPr>
                <w:rFonts w:hint="eastAsia" w:ascii="仿宋" w:hAnsi="仿宋" w:eastAsia="仿宋" w:cs="仿宋"/>
                <w:b/>
                <w:sz w:val="32"/>
                <w:szCs w:val="32"/>
                <w:lang w:eastAsia="zh-CN"/>
              </w:rPr>
              <w:t>（全额事业）</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bCs/>
                <w:sz w:val="32"/>
                <w:szCs w:val="32"/>
              </w:rPr>
              <w:t>保管利用</w:t>
            </w:r>
            <w:r>
              <w:rPr>
                <w:rFonts w:hint="eastAsia" w:ascii="仿宋" w:hAnsi="仿宋" w:eastAsia="仿宋" w:cs="仿宋"/>
                <w:b/>
                <w:bCs/>
                <w:sz w:val="32"/>
                <w:szCs w:val="32"/>
                <w:lang w:eastAsia="zh-CN"/>
              </w:rPr>
              <w:t>股</w:t>
            </w:r>
          </w:p>
        </w:tc>
        <w:tc>
          <w:tcPr>
            <w:tcW w:w="1134"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sz w:val="32"/>
                <w:szCs w:val="32"/>
              </w:rPr>
              <w:t>事业</w:t>
            </w:r>
          </w:p>
        </w:tc>
        <w:tc>
          <w:tcPr>
            <w:tcW w:w="1276"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sz w:val="32"/>
                <w:szCs w:val="32"/>
              </w:rPr>
              <w:t>正股级</w:t>
            </w:r>
          </w:p>
        </w:tc>
        <w:tc>
          <w:tcPr>
            <w:tcW w:w="2902" w:type="dxa"/>
            <w:shd w:val="clear" w:color="auto" w:fill="auto"/>
            <w:vAlign w:val="center"/>
          </w:tcPr>
          <w:p>
            <w:pPr>
              <w:spacing w:line="584" w:lineRule="exact"/>
              <w:jc w:val="center"/>
              <w:rPr>
                <w:rFonts w:hint="eastAsia" w:ascii="Times New Roman" w:hAnsi="Times New Roman" w:eastAsia="仿宋" w:cs="Times New Roman"/>
                <w:lang w:eastAsia="zh-CN"/>
              </w:rPr>
            </w:pPr>
            <w:r>
              <w:rPr>
                <w:rFonts w:hint="eastAsia" w:ascii="仿宋" w:hAnsi="仿宋" w:eastAsia="仿宋" w:cs="仿宋"/>
                <w:b/>
                <w:sz w:val="32"/>
                <w:szCs w:val="32"/>
              </w:rPr>
              <w:t>财政性资金基本保证</w:t>
            </w:r>
            <w:r>
              <w:rPr>
                <w:rFonts w:hint="eastAsia" w:ascii="仿宋" w:hAnsi="仿宋" w:eastAsia="仿宋" w:cs="仿宋"/>
                <w:b/>
                <w:sz w:val="32"/>
                <w:szCs w:val="32"/>
                <w:lang w:eastAsia="zh-CN"/>
              </w:rPr>
              <w:t>（全额事业）</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bCs/>
                <w:sz w:val="32"/>
                <w:szCs w:val="32"/>
              </w:rPr>
              <w:t>编研</w:t>
            </w:r>
            <w:r>
              <w:rPr>
                <w:rFonts w:hint="eastAsia" w:ascii="仿宋" w:hAnsi="仿宋" w:eastAsia="仿宋" w:cs="仿宋"/>
                <w:b/>
                <w:bCs/>
                <w:sz w:val="32"/>
                <w:szCs w:val="32"/>
                <w:lang w:eastAsia="zh-CN"/>
              </w:rPr>
              <w:t>和技术股</w:t>
            </w:r>
          </w:p>
        </w:tc>
        <w:tc>
          <w:tcPr>
            <w:tcW w:w="1134"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sz w:val="32"/>
                <w:szCs w:val="32"/>
              </w:rPr>
              <w:t>事业</w:t>
            </w:r>
          </w:p>
        </w:tc>
        <w:tc>
          <w:tcPr>
            <w:tcW w:w="1276" w:type="dxa"/>
            <w:shd w:val="clear" w:color="auto" w:fill="auto"/>
            <w:vAlign w:val="center"/>
          </w:tcPr>
          <w:p>
            <w:pPr>
              <w:spacing w:line="584" w:lineRule="exact"/>
              <w:jc w:val="center"/>
              <w:rPr>
                <w:rFonts w:ascii="Times New Roman" w:hAnsi="Times New Roman" w:eastAsia="仿宋_GB2312" w:cs="Times New Roman"/>
              </w:rPr>
            </w:pPr>
            <w:r>
              <w:rPr>
                <w:rFonts w:hint="eastAsia" w:ascii="仿宋" w:hAnsi="仿宋" w:eastAsia="仿宋" w:cs="仿宋"/>
                <w:b/>
                <w:sz w:val="32"/>
                <w:szCs w:val="32"/>
              </w:rPr>
              <w:t>正股级</w:t>
            </w:r>
          </w:p>
        </w:tc>
        <w:tc>
          <w:tcPr>
            <w:tcW w:w="2902" w:type="dxa"/>
            <w:shd w:val="clear" w:color="auto" w:fill="auto"/>
            <w:vAlign w:val="center"/>
          </w:tcPr>
          <w:p>
            <w:pPr>
              <w:spacing w:line="584" w:lineRule="exact"/>
              <w:jc w:val="center"/>
              <w:rPr>
                <w:rFonts w:hint="eastAsia" w:ascii="Times New Roman" w:hAnsi="Times New Roman" w:eastAsia="仿宋" w:cs="Times New Roman"/>
                <w:lang w:eastAsia="zh-CN"/>
              </w:rPr>
            </w:pPr>
            <w:r>
              <w:rPr>
                <w:rFonts w:hint="eastAsia" w:ascii="仿宋" w:hAnsi="仿宋" w:eastAsia="仿宋" w:cs="仿宋"/>
                <w:b/>
                <w:sz w:val="32"/>
                <w:szCs w:val="32"/>
              </w:rPr>
              <w:t>财政性资金基本保证</w:t>
            </w:r>
            <w:r>
              <w:rPr>
                <w:rFonts w:hint="eastAsia" w:ascii="仿宋" w:hAnsi="仿宋" w:eastAsia="仿宋" w:cs="仿宋"/>
                <w:b/>
                <w:sz w:val="32"/>
                <w:szCs w:val="32"/>
                <w:lang w:eastAsia="zh-CN"/>
              </w:rPr>
              <w:t>（全额事业）</w:t>
            </w:r>
          </w:p>
        </w:tc>
      </w:tr>
    </w:tbl>
    <w:p>
      <w:pPr>
        <w:spacing w:line="584" w:lineRule="exact"/>
        <w:ind w:firstLine="1280" w:firstLineChars="400"/>
        <w:rPr>
          <w:rFonts w:ascii="Times New Roman" w:hAnsi="Times New Roman" w:eastAsia="仿宋" w:cs="Times New Roman"/>
          <w:color w:val="FF0000"/>
          <w:sz w:val="32"/>
          <w:szCs w:val="32"/>
        </w:rPr>
      </w:pPr>
      <w:r>
        <w:rPr>
          <w:rFonts w:hint="eastAsia" w:ascii="Times New Roman" w:hAnsi="仿宋" w:eastAsia="仿宋" w:cs="Times New Roman"/>
          <w:color w:val="FF0000"/>
          <w:sz w:val="32"/>
          <w:szCs w:val="32"/>
        </w:rPr>
        <w:t xml:space="preserve"> </w:t>
      </w:r>
    </w:p>
    <w:p>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二、部门预算安排的总体情况</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按照预算管理有关规定，目前我县部门预算的编制实行综合预算制度，即全部收入和支出都反映在预算中。永清县</w:t>
      </w:r>
      <w:r>
        <w:rPr>
          <w:rFonts w:hint="eastAsia" w:ascii="Times New Roman" w:hAnsi="Times New Roman" w:eastAsia="仿宋_GB2312" w:cs="Times New Roman"/>
          <w:sz w:val="32"/>
          <w:szCs w:val="32"/>
          <w:lang w:eastAsia="zh-CN"/>
        </w:rPr>
        <w:t>档案馆</w:t>
      </w:r>
      <w:r>
        <w:rPr>
          <w:rFonts w:ascii="Times New Roman" w:hAnsi="Times New Roman" w:eastAsia="仿宋_GB2312" w:cs="Times New Roman"/>
          <w:sz w:val="32"/>
          <w:szCs w:val="32"/>
        </w:rPr>
        <w:t>机关的收支包含在</w:t>
      </w:r>
      <w:r>
        <w:rPr>
          <w:rFonts w:ascii="Times New Roman" w:hAnsi="Times New Roman" w:eastAsia="仿宋_GB2312" w:cs="Times New Roman"/>
          <w:color w:val="auto"/>
          <w:sz w:val="32"/>
          <w:szCs w:val="32"/>
        </w:rPr>
        <w:t>部门预算中</w:t>
      </w:r>
      <w:r>
        <w:rPr>
          <w:rFonts w:ascii="Times New Roman" w:hAnsi="Times New Roman" w:eastAsia="仿宋_GB2312" w:cs="Times New Roman"/>
          <w:sz w:val="32"/>
          <w:szCs w:val="32"/>
        </w:rPr>
        <w:t>。</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1、收入说明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反映本部门当年全部收入。2023年预算收入</w:t>
      </w:r>
      <w:r>
        <w:rPr>
          <w:rFonts w:hint="eastAsia" w:ascii="Times New Roman" w:hAnsi="Times New Roman" w:eastAsia="仿宋_GB2312" w:cs="Times New Roman"/>
          <w:sz w:val="32"/>
          <w:szCs w:val="32"/>
          <w:lang w:val="en-US" w:eastAsia="zh-CN"/>
        </w:rPr>
        <w:t>236.04</w:t>
      </w:r>
      <w:r>
        <w:rPr>
          <w:rFonts w:ascii="Times New Roman" w:hAnsi="Times New Roman" w:eastAsia="仿宋_GB2312" w:cs="Times New Roman"/>
          <w:sz w:val="32"/>
          <w:szCs w:val="32"/>
        </w:rPr>
        <w:t>万元，其中：一般公共预算收入</w:t>
      </w:r>
      <w:r>
        <w:rPr>
          <w:rFonts w:hint="eastAsia" w:ascii="Times New Roman" w:hAnsi="Times New Roman" w:eastAsia="仿宋_GB2312" w:cs="Times New Roman"/>
          <w:sz w:val="32"/>
          <w:szCs w:val="32"/>
          <w:lang w:val="en-US" w:eastAsia="zh-CN"/>
        </w:rPr>
        <w:t>236.04</w:t>
      </w:r>
      <w:r>
        <w:rPr>
          <w:rFonts w:ascii="Times New Roman" w:hAnsi="Times New Roman" w:eastAsia="仿宋_GB2312" w:cs="Times New Roman"/>
          <w:sz w:val="32"/>
          <w:szCs w:val="32"/>
        </w:rPr>
        <w:t>万元，基金预算收入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万元，财政专户核拨收入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万元，其他来源收入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上年结转</w:t>
      </w:r>
      <w:r>
        <w:rPr>
          <w:rFonts w:hint="eastAsia" w:ascii="Times New Roman" w:hAnsi="Times New Roman" w:eastAsia="仿宋_GB2312" w:cs="Times New Roman"/>
          <w:sz w:val="32"/>
          <w:szCs w:val="32"/>
          <w:lang w:val="en-US" w:eastAsia="zh-CN"/>
        </w:rPr>
        <w:t>0</w:t>
      </w:r>
      <w:r>
        <w:rPr>
          <w:rFonts w:hint="eastAsia" w:ascii="Times New Roman" w:hAnsi="Times New Roman" w:eastAsia="仿宋_GB2312" w:cs="Times New Roman"/>
          <w:sz w:val="32"/>
          <w:szCs w:val="32"/>
        </w:rPr>
        <w:t>万元</w:t>
      </w:r>
      <w:r>
        <w:rPr>
          <w:rFonts w:ascii="Times New Roman" w:hAnsi="Times New Roman" w:eastAsia="仿宋_GB2312" w:cs="Times New Roman"/>
          <w:sz w:val="32"/>
          <w:szCs w:val="32"/>
        </w:rPr>
        <w:t>。</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2、支出说明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收支预算总表支出栏、基本支出表、项目支出表按经济分类和支出功能分类科目编制，反映永清县</w:t>
      </w:r>
      <w:r>
        <w:rPr>
          <w:rFonts w:hint="eastAsia" w:ascii="Times New Roman" w:hAnsi="Times New Roman" w:eastAsia="仿宋_GB2312" w:cs="Times New Roman"/>
          <w:sz w:val="32"/>
          <w:szCs w:val="32"/>
          <w:lang w:eastAsia="zh-CN"/>
        </w:rPr>
        <w:t>档案馆</w:t>
      </w:r>
      <w:r>
        <w:rPr>
          <w:rFonts w:ascii="Times New Roman" w:hAnsi="Times New Roman" w:eastAsia="仿宋_GB2312" w:cs="Times New Roman"/>
          <w:sz w:val="32"/>
          <w:szCs w:val="32"/>
        </w:rPr>
        <w:t>年度部门预算中支出预算的总体情况。2023年支出预算</w:t>
      </w:r>
      <w:r>
        <w:rPr>
          <w:rFonts w:hint="eastAsia" w:ascii="Times New Roman" w:hAnsi="Times New Roman" w:eastAsia="仿宋_GB2312" w:cs="Times New Roman"/>
          <w:sz w:val="32"/>
          <w:szCs w:val="32"/>
          <w:lang w:val="en-US" w:eastAsia="zh-CN"/>
        </w:rPr>
        <w:t>236.04</w:t>
      </w:r>
      <w:r>
        <w:rPr>
          <w:rFonts w:ascii="Times New Roman" w:hAnsi="Times New Roman" w:eastAsia="仿宋_GB2312" w:cs="Times New Roman"/>
          <w:sz w:val="32"/>
          <w:szCs w:val="32"/>
        </w:rPr>
        <w:t>万元，其中基本支出</w:t>
      </w:r>
      <w:r>
        <w:rPr>
          <w:rFonts w:hint="eastAsia" w:ascii="Times New Roman" w:hAnsi="Times New Roman" w:eastAsia="仿宋_GB2312" w:cs="Times New Roman"/>
          <w:sz w:val="32"/>
          <w:szCs w:val="32"/>
          <w:lang w:val="en-US" w:eastAsia="zh-CN"/>
        </w:rPr>
        <w:t>233.04</w:t>
      </w:r>
      <w:r>
        <w:rPr>
          <w:rFonts w:ascii="Times New Roman" w:hAnsi="Times New Roman" w:eastAsia="仿宋_GB2312" w:cs="Times New Roman"/>
          <w:sz w:val="32"/>
          <w:szCs w:val="32"/>
        </w:rPr>
        <w:t>万元，包括人员类项目经费</w:t>
      </w:r>
      <w:r>
        <w:rPr>
          <w:rFonts w:hint="eastAsia" w:ascii="Times New Roman" w:hAnsi="Times New Roman" w:eastAsia="仿宋_GB2312" w:cs="Times New Roman"/>
          <w:sz w:val="32"/>
          <w:szCs w:val="32"/>
          <w:lang w:val="en-US" w:eastAsia="zh-CN"/>
        </w:rPr>
        <w:t>217.2</w:t>
      </w:r>
      <w:r>
        <w:rPr>
          <w:rFonts w:ascii="Times New Roman" w:hAnsi="Times New Roman" w:eastAsia="仿宋_GB2312" w:cs="Times New Roman"/>
          <w:sz w:val="32"/>
          <w:szCs w:val="32"/>
        </w:rPr>
        <w:t>万元和</w:t>
      </w:r>
      <w:r>
        <w:rPr>
          <w:rFonts w:hint="eastAsia" w:ascii="Times New Roman" w:hAnsi="Times New Roman" w:eastAsia="仿宋_GB2312" w:cs="Times New Roman"/>
          <w:sz w:val="32"/>
          <w:szCs w:val="32"/>
        </w:rPr>
        <w:t>运转类</w:t>
      </w:r>
      <w:r>
        <w:rPr>
          <w:rFonts w:ascii="Times New Roman" w:hAnsi="Times New Roman" w:eastAsia="仿宋_GB2312" w:cs="Times New Roman"/>
          <w:sz w:val="32"/>
          <w:szCs w:val="32"/>
        </w:rPr>
        <w:t>公用项目经费</w:t>
      </w:r>
      <w:r>
        <w:rPr>
          <w:rFonts w:hint="eastAsia" w:ascii="Times New Roman" w:hAnsi="Times New Roman" w:eastAsia="仿宋_GB2312" w:cs="Times New Roman"/>
          <w:sz w:val="32"/>
          <w:szCs w:val="32"/>
          <w:lang w:val="en-US" w:eastAsia="zh-CN"/>
        </w:rPr>
        <w:t>15.85</w:t>
      </w:r>
      <w:r>
        <w:rPr>
          <w:rFonts w:ascii="Times New Roman" w:hAnsi="Times New Roman" w:eastAsia="仿宋_GB2312" w:cs="Times New Roman"/>
          <w:sz w:val="32"/>
          <w:szCs w:val="32"/>
        </w:rPr>
        <w:t>万元；运转类其他及特定目标类项目支出</w:t>
      </w:r>
      <w:r>
        <w:rPr>
          <w:rFonts w:hint="eastAsia" w:ascii="Times New Roman" w:hAnsi="Times New Roman" w:eastAsia="仿宋_GB2312" w:cs="Times New Roman"/>
          <w:sz w:val="32"/>
          <w:szCs w:val="32"/>
          <w:lang w:val="en-US" w:eastAsia="zh-CN"/>
        </w:rPr>
        <w:t>3</w:t>
      </w:r>
      <w:r>
        <w:rPr>
          <w:rFonts w:ascii="Times New Roman" w:hAnsi="Times New Roman" w:eastAsia="仿宋_GB2312" w:cs="Times New Roman"/>
          <w:sz w:val="32"/>
          <w:szCs w:val="32"/>
        </w:rPr>
        <w:t>万元，包括本级支出</w:t>
      </w:r>
      <w:r>
        <w:rPr>
          <w:rFonts w:hint="eastAsia" w:ascii="Times New Roman" w:hAnsi="Times New Roman" w:eastAsia="仿宋_GB2312" w:cs="Times New Roman"/>
          <w:sz w:val="32"/>
          <w:szCs w:val="32"/>
          <w:lang w:val="en-US" w:eastAsia="zh-CN"/>
        </w:rPr>
        <w:t>3万元</w:t>
      </w:r>
      <w:r>
        <w:rPr>
          <w:rFonts w:ascii="Times New Roman" w:hAnsi="Times New Roman" w:eastAsia="仿宋_GB2312" w:cs="Times New Roman"/>
          <w:sz w:val="32"/>
          <w:szCs w:val="32"/>
        </w:rPr>
        <w:t>，主要为</w:t>
      </w:r>
      <w:r>
        <w:rPr>
          <w:rFonts w:hint="eastAsia" w:ascii="仿宋_GB2312" w:eastAsia="仿宋_GB2312"/>
          <w:sz w:val="32"/>
          <w:szCs w:val="32"/>
        </w:rPr>
        <w:t>档案馆日常整理经费项目</w:t>
      </w:r>
      <w:r>
        <w:rPr>
          <w:rFonts w:hint="eastAsia" w:ascii="仿宋_GB2312" w:eastAsia="仿宋_GB2312"/>
          <w:sz w:val="32"/>
          <w:szCs w:val="32"/>
          <w:lang w:eastAsia="zh-CN"/>
        </w:rPr>
        <w:t>。</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3、比上年增减情况</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2023年预算收支安排</w:t>
      </w:r>
      <w:r>
        <w:rPr>
          <w:rFonts w:hint="eastAsia" w:ascii="Times New Roman" w:hAnsi="Times New Roman" w:eastAsia="仿宋_GB2312" w:cs="Times New Roman"/>
          <w:sz w:val="32"/>
          <w:szCs w:val="32"/>
          <w:lang w:val="en-US" w:eastAsia="zh-CN"/>
        </w:rPr>
        <w:t>236.04</w:t>
      </w:r>
      <w:r>
        <w:rPr>
          <w:rFonts w:ascii="Times New Roman" w:hAnsi="Times New Roman" w:eastAsia="仿宋_GB2312" w:cs="Times New Roman"/>
          <w:sz w:val="32"/>
          <w:szCs w:val="32"/>
        </w:rPr>
        <w:t>万元，较20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2年预算增加</w:t>
      </w:r>
      <w:r>
        <w:rPr>
          <w:rFonts w:hint="eastAsia" w:ascii="Times New Roman" w:hAnsi="Times New Roman" w:eastAsia="仿宋_GB2312" w:cs="Times New Roman"/>
          <w:sz w:val="32"/>
          <w:szCs w:val="32"/>
          <w:lang w:val="en-US" w:eastAsia="zh-CN"/>
        </w:rPr>
        <w:t>23.68</w:t>
      </w:r>
      <w:r>
        <w:rPr>
          <w:rFonts w:ascii="Times New Roman" w:hAnsi="Times New Roman" w:eastAsia="仿宋_GB2312" w:cs="Times New Roman"/>
          <w:sz w:val="32"/>
          <w:szCs w:val="32"/>
        </w:rPr>
        <w:t>万元，其中：基本支出增加</w:t>
      </w:r>
      <w:r>
        <w:rPr>
          <w:rFonts w:hint="eastAsia" w:ascii="Times New Roman" w:hAnsi="Times New Roman" w:eastAsia="仿宋_GB2312" w:cs="Times New Roman"/>
          <w:sz w:val="32"/>
          <w:szCs w:val="32"/>
          <w:lang w:val="en-US" w:eastAsia="zh-CN"/>
        </w:rPr>
        <w:t>25.68</w:t>
      </w:r>
      <w:r>
        <w:rPr>
          <w:rFonts w:ascii="Times New Roman" w:hAnsi="Times New Roman" w:eastAsia="仿宋_GB2312" w:cs="Times New Roman"/>
          <w:sz w:val="32"/>
          <w:szCs w:val="32"/>
        </w:rPr>
        <w:t>万元，主要为</w:t>
      </w:r>
      <w:r>
        <w:rPr>
          <w:rFonts w:hint="eastAsia" w:ascii="仿宋_GB2312" w:eastAsia="仿宋_GB2312"/>
          <w:sz w:val="32"/>
          <w:szCs w:val="32"/>
        </w:rPr>
        <w:t>人员经费支出</w:t>
      </w:r>
      <w:r>
        <w:rPr>
          <w:rFonts w:hint="eastAsia" w:ascii="仿宋_GB2312" w:eastAsia="仿宋_GB2312"/>
          <w:sz w:val="32"/>
          <w:szCs w:val="32"/>
          <w:lang w:eastAsia="zh-CN"/>
        </w:rPr>
        <w:t>增加</w:t>
      </w:r>
      <w:r>
        <w:rPr>
          <w:rFonts w:hint="eastAsia" w:ascii="仿宋_GB2312" w:eastAsia="仿宋_GB2312"/>
          <w:sz w:val="32"/>
          <w:szCs w:val="32"/>
          <w:lang w:val="en-US" w:eastAsia="zh-CN"/>
        </w:rPr>
        <w:t>24.99</w:t>
      </w:r>
      <w:r>
        <w:rPr>
          <w:rFonts w:hint="eastAsia" w:ascii="Times New Roman" w:hAnsi="Times New Roman" w:eastAsia="仿宋_GB2312" w:cs="Times New Roman"/>
          <w:sz w:val="32"/>
          <w:szCs w:val="32"/>
          <w:lang w:val="en-US" w:eastAsia="zh-CN"/>
        </w:rPr>
        <w:t>万</w:t>
      </w:r>
      <w:r>
        <w:rPr>
          <w:rFonts w:ascii="Times New Roman" w:hAnsi="Times New Roman" w:eastAsia="仿宋_GB2312" w:cs="Times New Roman"/>
          <w:sz w:val="32"/>
          <w:szCs w:val="32"/>
        </w:rPr>
        <w:t>元</w:t>
      </w:r>
      <w:r>
        <w:rPr>
          <w:rFonts w:hint="eastAsia" w:ascii="Times New Roman" w:hAnsi="Times New Roman" w:eastAsia="仿宋_GB2312" w:cs="Times New Roman"/>
          <w:sz w:val="32"/>
          <w:szCs w:val="32"/>
          <w:lang w:eastAsia="zh-CN"/>
        </w:rPr>
        <w:t>，日常公用经费支出增加</w:t>
      </w:r>
      <w:r>
        <w:rPr>
          <w:rFonts w:hint="eastAsia" w:ascii="Times New Roman" w:hAnsi="Times New Roman" w:eastAsia="仿宋_GB2312" w:cs="Times New Roman"/>
          <w:sz w:val="32"/>
          <w:szCs w:val="32"/>
          <w:lang w:val="en-US" w:eastAsia="zh-CN"/>
        </w:rPr>
        <w:t>0.7万元</w:t>
      </w:r>
      <w:r>
        <w:rPr>
          <w:rFonts w:ascii="Times New Roman" w:hAnsi="Times New Roman" w:eastAsia="仿宋_GB2312" w:cs="Times New Roman"/>
          <w:sz w:val="32"/>
          <w:szCs w:val="32"/>
        </w:rPr>
        <w:t>；项目支出</w:t>
      </w:r>
      <w:r>
        <w:rPr>
          <w:rFonts w:hint="eastAsia" w:ascii="Times New Roman" w:hAnsi="Times New Roman" w:eastAsia="仿宋_GB2312" w:cs="Times New Roman"/>
          <w:sz w:val="32"/>
          <w:szCs w:val="32"/>
          <w:lang w:eastAsia="zh-CN"/>
        </w:rPr>
        <w:t>减少</w:t>
      </w:r>
      <w:r>
        <w:rPr>
          <w:rFonts w:hint="eastAsia" w:ascii="Times New Roman" w:hAnsi="Times New Roman" w:eastAsia="仿宋_GB2312" w:cs="Times New Roman"/>
          <w:sz w:val="32"/>
          <w:szCs w:val="32"/>
          <w:lang w:val="en-US" w:eastAsia="zh-CN"/>
        </w:rPr>
        <w:t>2</w:t>
      </w:r>
      <w:r>
        <w:rPr>
          <w:rFonts w:ascii="Times New Roman" w:hAnsi="Times New Roman" w:eastAsia="仿宋_GB2312" w:cs="Times New Roman"/>
          <w:sz w:val="32"/>
          <w:szCs w:val="32"/>
        </w:rPr>
        <w:t>万元，主要为</w:t>
      </w:r>
      <w:r>
        <w:rPr>
          <w:rFonts w:hint="eastAsia" w:ascii="仿宋_GB2312" w:eastAsia="仿宋_GB2312"/>
          <w:sz w:val="32"/>
          <w:szCs w:val="32"/>
        </w:rPr>
        <w:t>档案馆日常整理经费</w:t>
      </w:r>
      <w:r>
        <w:rPr>
          <w:rFonts w:ascii="Times New Roman" w:hAnsi="Times New Roman" w:eastAsia="仿宋_GB2312" w:cs="Times New Roman"/>
          <w:sz w:val="32"/>
          <w:szCs w:val="32"/>
        </w:rPr>
        <w:t>项目支出。</w:t>
      </w:r>
    </w:p>
    <w:p>
      <w:pPr>
        <w:autoSpaceDE w:val="0"/>
        <w:autoSpaceDN w:val="0"/>
        <w:adjustRightInd w:val="0"/>
        <w:spacing w:line="584" w:lineRule="exact"/>
        <w:ind w:left="198"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三、机关运行经费安排情况</w:t>
      </w:r>
    </w:p>
    <w:p>
      <w:pPr>
        <w:autoSpaceDE w:val="0"/>
        <w:autoSpaceDN w:val="0"/>
        <w:adjustRightInd w:val="0"/>
        <w:spacing w:line="584" w:lineRule="exact"/>
        <w:ind w:left="198"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2023年，我</w:t>
      </w:r>
      <w:r>
        <w:rPr>
          <w:rFonts w:hint="eastAsia" w:ascii="Times New Roman" w:hAnsi="Times New Roman" w:eastAsia="仿宋_GB2312" w:cs="Times New Roman"/>
          <w:sz w:val="32"/>
          <w:szCs w:val="32"/>
          <w:lang w:eastAsia="zh-CN"/>
        </w:rPr>
        <w:t>馆</w:t>
      </w:r>
      <w:bookmarkStart w:id="2" w:name="_GoBack"/>
      <w:bookmarkEnd w:id="2"/>
      <w:r>
        <w:rPr>
          <w:rFonts w:ascii="Times New Roman" w:hAnsi="Times New Roman" w:eastAsia="仿宋_GB2312" w:cs="Times New Roman"/>
          <w:sz w:val="32"/>
          <w:szCs w:val="32"/>
        </w:rPr>
        <w:t>机关运行经费共计安排</w:t>
      </w:r>
      <w:r>
        <w:rPr>
          <w:rFonts w:hint="eastAsia" w:ascii="Times New Roman" w:hAnsi="Times New Roman" w:eastAsia="仿宋_GB2312" w:cs="Times New Roman"/>
          <w:sz w:val="32"/>
          <w:szCs w:val="32"/>
          <w:lang w:val="en-US" w:eastAsia="zh-CN"/>
        </w:rPr>
        <w:t>15.85</w:t>
      </w:r>
      <w:r>
        <w:rPr>
          <w:rFonts w:ascii="Times New Roman" w:hAnsi="Times New Roman" w:eastAsia="仿宋_GB2312" w:cs="Times New Roman"/>
          <w:sz w:val="32"/>
          <w:szCs w:val="32"/>
        </w:rPr>
        <w:t>万元，主要用于</w:t>
      </w:r>
      <w:r>
        <w:rPr>
          <w:rFonts w:hint="eastAsia" w:ascii="Times New Roman" w:hAnsi="Times New Roman" w:eastAsia="仿宋_GB2312" w:cs="Times New Roman"/>
          <w:sz w:val="32"/>
          <w:szCs w:val="32"/>
          <w:lang w:eastAsia="zh-CN"/>
        </w:rPr>
        <w:t>我单位</w:t>
      </w:r>
      <w:r>
        <w:rPr>
          <w:rFonts w:ascii="Times New Roman" w:hAnsi="Times New Roman" w:eastAsia="仿宋_GB2312" w:cs="Times New Roman"/>
          <w:sz w:val="32"/>
          <w:szCs w:val="32"/>
        </w:rPr>
        <w:t>办公区的日常维修、</w:t>
      </w:r>
      <w:r>
        <w:rPr>
          <w:rFonts w:hint="eastAsia" w:ascii="Times New Roman" w:hAnsi="Times New Roman" w:eastAsia="仿宋_GB2312" w:cs="Times New Roman"/>
          <w:sz w:val="32"/>
          <w:szCs w:val="32"/>
          <w:lang w:eastAsia="zh-CN"/>
        </w:rPr>
        <w:t>档案库房</w:t>
      </w:r>
      <w:r>
        <w:rPr>
          <w:rFonts w:ascii="Times New Roman" w:hAnsi="Times New Roman" w:eastAsia="仿宋_GB2312" w:cs="Times New Roman"/>
          <w:sz w:val="32"/>
          <w:szCs w:val="32"/>
        </w:rPr>
        <w:t>的日常维修</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办公用房水电费、办公用房取暖费、办公用房物业管理费等日常运行支出。</w:t>
      </w:r>
    </w:p>
    <w:p>
      <w:pPr>
        <w:autoSpaceDE w:val="0"/>
        <w:autoSpaceDN w:val="0"/>
        <w:adjustRightInd w:val="0"/>
        <w:spacing w:line="584" w:lineRule="exact"/>
        <w:ind w:firstLine="630" w:firstLineChars="196"/>
        <w:jc w:val="left"/>
        <w:rPr>
          <w:rFonts w:ascii="Times New Roman" w:hAnsi="Times New Roman" w:eastAsia="仿宋_GB2312" w:cs="Times New Roman"/>
          <w:b/>
          <w:sz w:val="32"/>
          <w:szCs w:val="32"/>
        </w:rPr>
      </w:pPr>
      <w:r>
        <w:rPr>
          <w:rFonts w:ascii="Times New Roman" w:hAnsi="Times New Roman" w:eastAsia="仿宋_GB2312" w:cs="Times New Roman"/>
          <w:b/>
          <w:sz w:val="32"/>
          <w:szCs w:val="32"/>
        </w:rPr>
        <w:t>四、财政拨款“三公”经费预算情况及增减变化原因</w:t>
      </w:r>
    </w:p>
    <w:p>
      <w:pPr>
        <w:autoSpaceDE w:val="0"/>
        <w:autoSpaceDN w:val="0"/>
        <w:adjustRightInd w:val="0"/>
        <w:spacing w:line="584" w:lineRule="exact"/>
        <w:ind w:left="197" w:leftChars="94"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2023年，我局财政拨款“三公”经费预算安排</w:t>
      </w:r>
      <w:r>
        <w:rPr>
          <w:rFonts w:hint="eastAsia" w:ascii="Times New Roman" w:hAnsi="Times New Roman" w:eastAsia="仿宋_GB2312" w:cs="Times New Roman"/>
          <w:sz w:val="32"/>
          <w:szCs w:val="32"/>
          <w:lang w:val="en-US" w:eastAsia="zh-CN"/>
        </w:rPr>
        <w:t>1.25</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其中</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因公出国（境）费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万元；公务用车购置及运维费</w:t>
      </w:r>
      <w:r>
        <w:rPr>
          <w:rFonts w:hint="eastAsia" w:ascii="Times New Roman" w:hAnsi="Times New Roman" w:eastAsia="仿宋_GB2312" w:cs="Times New Roman"/>
          <w:sz w:val="32"/>
          <w:szCs w:val="32"/>
          <w:lang w:val="en-US" w:eastAsia="zh-CN"/>
        </w:rPr>
        <w:t>1.17</w:t>
      </w:r>
      <w:r>
        <w:rPr>
          <w:rFonts w:ascii="Times New Roman" w:hAnsi="Times New Roman" w:eastAsia="仿宋_GB2312" w:cs="Times New Roman"/>
          <w:sz w:val="32"/>
          <w:szCs w:val="32"/>
        </w:rPr>
        <w:t>万元（其中：公务用车购置费为</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万元，公务用车运维费</w:t>
      </w:r>
      <w:r>
        <w:rPr>
          <w:rFonts w:hint="eastAsia" w:ascii="Times New Roman" w:hAnsi="Times New Roman" w:eastAsia="仿宋_GB2312" w:cs="Times New Roman"/>
          <w:sz w:val="32"/>
          <w:szCs w:val="32"/>
          <w:lang w:val="en-US" w:eastAsia="zh-CN"/>
        </w:rPr>
        <w:t>1.17</w:t>
      </w:r>
      <w:r>
        <w:rPr>
          <w:rFonts w:ascii="Times New Roman" w:hAnsi="Times New Roman" w:eastAsia="仿宋_GB2312" w:cs="Times New Roman"/>
          <w:sz w:val="32"/>
          <w:szCs w:val="32"/>
        </w:rPr>
        <w:t>万元)；公务接待费</w:t>
      </w:r>
      <w:r>
        <w:rPr>
          <w:rFonts w:hint="eastAsia" w:ascii="Times New Roman" w:hAnsi="Times New Roman" w:eastAsia="仿宋_GB2312" w:cs="Times New Roman"/>
          <w:sz w:val="32"/>
          <w:szCs w:val="32"/>
          <w:lang w:val="en-US" w:eastAsia="zh-CN"/>
        </w:rPr>
        <w:t>0.08</w:t>
      </w:r>
      <w:r>
        <w:rPr>
          <w:rFonts w:ascii="Times New Roman" w:hAnsi="Times New Roman" w:eastAsia="仿宋_GB2312" w:cs="Times New Roman"/>
          <w:sz w:val="32"/>
          <w:szCs w:val="32"/>
        </w:rPr>
        <w:t>万元。与20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w:t>
      </w:r>
      <w:r>
        <w:rPr>
          <w:rFonts w:hint="eastAsia" w:ascii="Times New Roman" w:hAnsi="Times New Roman" w:eastAsia="仿宋_GB2312" w:cs="Times New Roman"/>
          <w:sz w:val="32"/>
          <w:szCs w:val="32"/>
        </w:rPr>
        <w:t>相比</w:t>
      </w:r>
      <w:r>
        <w:rPr>
          <w:rFonts w:hint="eastAsia" w:ascii="Times New Roman" w:hAnsi="Times New Roman" w:eastAsia="仿宋_GB2312" w:cs="Times New Roman"/>
          <w:sz w:val="32"/>
          <w:szCs w:val="32"/>
          <w:lang w:eastAsia="zh-CN"/>
        </w:rPr>
        <w:t>持平</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无增减变化</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其中，</w:t>
      </w:r>
      <w:r>
        <w:rPr>
          <w:rFonts w:ascii="Times New Roman" w:hAnsi="Times New Roman" w:eastAsia="仿宋_GB2312" w:cs="Times New Roman"/>
          <w:sz w:val="32"/>
          <w:szCs w:val="32"/>
        </w:rPr>
        <w:t>公务用车购置及运维费与20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2</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rPr>
        <w:t>相比</w:t>
      </w:r>
      <w:r>
        <w:rPr>
          <w:rFonts w:hint="eastAsia" w:ascii="Times New Roman" w:hAnsi="Times New Roman" w:eastAsia="仿宋_GB2312" w:cs="Times New Roman"/>
          <w:sz w:val="32"/>
          <w:szCs w:val="32"/>
          <w:lang w:eastAsia="zh-CN"/>
        </w:rPr>
        <w:t>持平</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无增减变化</w:t>
      </w:r>
      <w:r>
        <w:rPr>
          <w:rFonts w:ascii="Times New Roman" w:hAnsi="Times New Roman" w:eastAsia="仿宋_GB2312" w:cs="Times New Roman"/>
          <w:sz w:val="32"/>
          <w:szCs w:val="32"/>
        </w:rPr>
        <w:t>（其中：公务用车购置费与20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2</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rPr>
        <w:t>相比</w:t>
      </w:r>
      <w:r>
        <w:rPr>
          <w:rFonts w:hint="eastAsia" w:ascii="Times New Roman" w:hAnsi="Times New Roman" w:eastAsia="仿宋_GB2312" w:cs="Times New Roman"/>
          <w:sz w:val="32"/>
          <w:szCs w:val="32"/>
          <w:lang w:eastAsia="zh-CN"/>
        </w:rPr>
        <w:t>持平</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无增减变化</w:t>
      </w:r>
      <w:r>
        <w:rPr>
          <w:rFonts w:ascii="Times New Roman" w:hAnsi="Times New Roman" w:eastAsia="仿宋_GB2312" w:cs="Times New Roman"/>
          <w:sz w:val="32"/>
          <w:szCs w:val="32"/>
        </w:rPr>
        <w:t>，公务用车运维费与20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2</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rPr>
        <w:t>相比</w:t>
      </w:r>
      <w:r>
        <w:rPr>
          <w:rFonts w:hint="eastAsia" w:ascii="Times New Roman" w:hAnsi="Times New Roman" w:eastAsia="仿宋_GB2312" w:cs="Times New Roman"/>
          <w:sz w:val="32"/>
          <w:szCs w:val="32"/>
          <w:lang w:eastAsia="zh-CN"/>
        </w:rPr>
        <w:t>持平</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无增减变化</w:t>
      </w:r>
      <w:r>
        <w:rPr>
          <w:rFonts w:ascii="Times New Roman" w:hAnsi="Times New Roman" w:eastAsia="仿宋_GB2312" w:cs="Times New Roman"/>
          <w:sz w:val="32"/>
          <w:szCs w:val="32"/>
        </w:rPr>
        <w:t>)；公务接待费与20</w:t>
      </w:r>
      <w:r>
        <w:rPr>
          <w:rFonts w:hint="eastAsia"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2</w:t>
      </w:r>
      <w:r>
        <w:rPr>
          <w:rFonts w:ascii="Times New Roman" w:hAnsi="Times New Roman" w:eastAsia="仿宋_GB2312" w:cs="Times New Roman"/>
          <w:sz w:val="32"/>
          <w:szCs w:val="32"/>
        </w:rPr>
        <w:t>年</w:t>
      </w:r>
      <w:r>
        <w:rPr>
          <w:rFonts w:hint="eastAsia" w:ascii="Times New Roman" w:hAnsi="Times New Roman" w:eastAsia="仿宋_GB2312" w:cs="Times New Roman"/>
          <w:sz w:val="32"/>
          <w:szCs w:val="32"/>
        </w:rPr>
        <w:t>相比</w:t>
      </w:r>
      <w:r>
        <w:rPr>
          <w:rFonts w:hint="eastAsia" w:ascii="Times New Roman" w:hAnsi="Times New Roman" w:eastAsia="仿宋_GB2312" w:cs="Times New Roman"/>
          <w:sz w:val="32"/>
          <w:szCs w:val="32"/>
          <w:lang w:eastAsia="zh-CN"/>
        </w:rPr>
        <w:t>持平</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无增减变化</w:t>
      </w:r>
      <w:r>
        <w:rPr>
          <w:rFonts w:hint="eastAsia" w:ascii="Times New Roman" w:hAnsi="Times New Roman" w:eastAsia="仿宋_GB2312" w:cs="Times New Roman"/>
          <w:sz w:val="32"/>
          <w:szCs w:val="32"/>
        </w:rPr>
        <w:t>。</w:t>
      </w:r>
    </w:p>
    <w:p>
      <w:pPr>
        <w:numPr>
          <w:ilvl w:val="0"/>
          <w:numId w:val="0"/>
        </w:numPr>
        <w:spacing w:line="584" w:lineRule="exact"/>
        <w:ind w:firstLine="640" w:firstLineChars="200"/>
        <w:rPr>
          <w:rFonts w:ascii="Times New Roman" w:hAnsi="黑体" w:eastAsia="黑体" w:cs="Times New Roman"/>
          <w:sz w:val="32"/>
          <w:szCs w:val="32"/>
        </w:rPr>
      </w:pPr>
      <w:r>
        <w:rPr>
          <w:rFonts w:hint="eastAsia" w:ascii="Times New Roman" w:hAnsi="黑体" w:eastAsia="黑体" w:cs="Times New Roman"/>
          <w:sz w:val="32"/>
          <w:szCs w:val="32"/>
          <w:lang w:eastAsia="zh-CN"/>
        </w:rPr>
        <w:t>五、</w:t>
      </w:r>
      <w:r>
        <w:rPr>
          <w:rFonts w:ascii="Times New Roman" w:hAnsi="黑体" w:eastAsia="黑体" w:cs="Times New Roman"/>
          <w:sz w:val="32"/>
          <w:szCs w:val="32"/>
        </w:rPr>
        <w:t>绩效预算信息</w:t>
      </w:r>
    </w:p>
    <w:p>
      <w:pPr>
        <w:numPr>
          <w:ilvl w:val="0"/>
          <w:numId w:val="0"/>
        </w:numPr>
        <w:spacing w:line="584" w:lineRule="exact"/>
        <w:ind w:firstLine="640" w:firstLineChars="200"/>
        <w:rPr>
          <w:rFonts w:ascii="Times New Roman" w:hAnsi="黑体" w:eastAsia="黑体" w:cs="Times New Roman"/>
          <w:sz w:val="32"/>
          <w:szCs w:val="32"/>
        </w:rPr>
      </w:pPr>
      <w:r>
        <w:rPr>
          <w:rFonts w:hint="eastAsia" w:ascii="Times New Roman" w:hAnsi="黑体" w:eastAsia="黑体" w:cs="Times New Roman"/>
          <w:sz w:val="32"/>
          <w:szCs w:val="32"/>
        </w:rPr>
        <w:t>第一部分部门整体绩效目标</w:t>
      </w:r>
    </w:p>
    <w:p>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（一）总体绩效目标</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1、集中统一管理全县各乡镇、县直各机关单位各历史时期的档案资料，保守党和国家机密，维护档案完整，确保档案资料安全。</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2、接收各乡镇、县直各机关单位应进馆的201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年度形成的保管期限为永久、30年档案资料</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扶贫档案、</w:t>
      </w:r>
      <w:r>
        <w:rPr>
          <w:rFonts w:hint="eastAsia" w:ascii="仿宋_GB2312" w:hAnsi="仿宋_GB2312" w:eastAsia="仿宋_GB2312" w:cs="仿宋_GB2312"/>
          <w:sz w:val="32"/>
          <w:szCs w:val="32"/>
          <w:lang w:eastAsia="zh-CN"/>
        </w:rPr>
        <w:t>疫情防控档案、农村产权制度改革</w:t>
      </w:r>
      <w:r>
        <w:rPr>
          <w:rFonts w:hint="eastAsia" w:ascii="仿宋_GB2312" w:hAnsi="仿宋_GB2312" w:eastAsia="仿宋_GB2312" w:cs="仿宋_GB2312"/>
          <w:sz w:val="32"/>
          <w:szCs w:val="32"/>
        </w:rPr>
        <w:t>档案等。</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3、征集散存在社会上对国家和社会有保存价值的珍贵档案资料。</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4、负责馆藏档案资料的整理、编目、鉴定、统计和技术保护工作。    </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5、依法开放档案，为党和政府及社会各方面提供利用服务。</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6、开发档案信息资源，开展档案史料编研出版、展览陈列和社会教育活动。</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7、运用现代化技术手段，开展馆藏档案信息化建设。</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8、做好机关党建工作。</w:t>
      </w:r>
    </w:p>
    <w:p>
      <w:pPr>
        <w:spacing w:line="584"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9、完成县委交办的其他任务（四城同创、</w:t>
      </w:r>
      <w:r>
        <w:rPr>
          <w:rFonts w:hint="eastAsia" w:ascii="仿宋_GB2312" w:hAnsi="仿宋_GB2312" w:eastAsia="仿宋_GB2312" w:cs="仿宋_GB2312"/>
          <w:sz w:val="32"/>
          <w:szCs w:val="32"/>
          <w:lang w:eastAsia="zh-CN"/>
        </w:rPr>
        <w:t>疫情防控</w:t>
      </w:r>
      <w:r>
        <w:rPr>
          <w:rFonts w:hint="eastAsia" w:ascii="仿宋_GB2312" w:hAnsi="仿宋_GB2312" w:eastAsia="仿宋_GB2312" w:cs="仿宋_GB2312"/>
          <w:sz w:val="32"/>
          <w:szCs w:val="32"/>
        </w:rPr>
        <w:t>等工作）。</w:t>
      </w:r>
    </w:p>
    <w:p>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（二）分项绩效目标</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（一）馆藏档案安全工作</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绩效目标：确保10</w:t>
      </w:r>
      <w:r>
        <w:rPr>
          <w:rFonts w:hint="eastAsia" w:ascii="仿宋_GB2312" w:hAnsi="仿宋_GB2312" w:eastAsia="仿宋_GB2312" w:cs="仿宋_GB2312"/>
          <w:sz w:val="32"/>
          <w:szCs w:val="32"/>
          <w:lang w:val="en-US" w:eastAsia="zh-CN"/>
        </w:rPr>
        <w:t>7558</w:t>
      </w:r>
      <w:r>
        <w:rPr>
          <w:rFonts w:hint="eastAsia" w:ascii="仿宋_GB2312" w:hAnsi="仿宋_GB2312" w:eastAsia="仿宋_GB2312" w:cs="仿宋_GB2312"/>
          <w:sz w:val="32"/>
          <w:szCs w:val="32"/>
        </w:rPr>
        <w:t>卷档案完整、安全。</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绩效指标：档案无损害，无责任事故。</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（二）档案接收工作</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绩效目标：接收机关单位201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年保管期限为永久、30年档案及</w:t>
      </w:r>
      <w:r>
        <w:rPr>
          <w:rFonts w:hint="eastAsia" w:ascii="仿宋_GB2312" w:hAnsi="仿宋_GB2312" w:eastAsia="仿宋_GB2312" w:cs="仿宋_GB2312"/>
          <w:sz w:val="32"/>
          <w:szCs w:val="32"/>
          <w:lang w:eastAsia="zh-CN"/>
        </w:rPr>
        <w:t>疫情防控</w:t>
      </w:r>
      <w:r>
        <w:rPr>
          <w:rFonts w:hint="eastAsia" w:ascii="仿宋_GB2312" w:hAnsi="仿宋_GB2312" w:eastAsia="仿宋_GB2312" w:cs="仿宋_GB2312"/>
          <w:sz w:val="32"/>
          <w:szCs w:val="32"/>
        </w:rPr>
        <w:t>档案</w:t>
      </w:r>
      <w:r>
        <w:rPr>
          <w:rFonts w:hint="eastAsia" w:ascii="仿宋_GB2312" w:hAnsi="仿宋_GB2312" w:eastAsia="仿宋_GB2312" w:cs="仿宋_GB2312"/>
          <w:sz w:val="32"/>
          <w:szCs w:val="32"/>
          <w:lang w:eastAsia="zh-CN"/>
        </w:rPr>
        <w:t>、婚姻档案等专题档案</w:t>
      </w:r>
      <w:r>
        <w:rPr>
          <w:rFonts w:hint="eastAsia" w:ascii="仿宋_GB2312" w:hAnsi="仿宋_GB2312" w:eastAsia="仿宋_GB2312" w:cs="仿宋_GB2312"/>
          <w:sz w:val="32"/>
          <w:szCs w:val="32"/>
        </w:rPr>
        <w:t>。</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绩效指标：10000件以上。</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（三）档案征集工作</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绩效目标：征集散存在社会上有保存价值的珍贵档案资料。</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绩效指标：20件以上。</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（四）馆藏档案整理和抢救保护工作</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绩效目标：对档案进行规范整理、消毒、除尘工作。</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绩效指标：规范整理档案</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000卷。</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（五）开放、利用档案工作</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绩效目标：做好馆藏199</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年前档案的鉴定、开放工作，为社会各方面做好档案提供利用服务。</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绩效指标：开放档案做到应开尽开；全年接待利用者</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00人次以上；提供利用做到查全率、查准率均在95%以上；群众满意率95%以上。</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（六）开发档案信息资源</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绩效目标：完成编研材料</w:t>
      </w:r>
      <w:r>
        <w:rPr>
          <w:rFonts w:hint="eastAsia" w:ascii="仿宋_GB2312" w:hAnsi="仿宋_GB2312" w:eastAsia="仿宋_GB2312" w:cs="仿宋_GB2312"/>
          <w:color w:val="000000"/>
          <w:kern w:val="0"/>
          <w:sz w:val="32"/>
          <w:szCs w:val="32"/>
          <w:lang w:val="en-US" w:eastAsia="zh-CN"/>
        </w:rPr>
        <w:t>《永清县档案局（馆）基础数字汇编》</w:t>
      </w:r>
      <w:r>
        <w:rPr>
          <w:rFonts w:hint="eastAsia" w:ascii="仿宋_GB2312" w:hAnsi="仿宋_GB2312" w:eastAsia="仿宋_GB2312" w:cs="仿宋_GB2312"/>
          <w:sz w:val="32"/>
          <w:szCs w:val="32"/>
          <w:lang w:eastAsia="zh-CN"/>
        </w:rPr>
        <w:t>续编及《永清年鉴》档案部分（</w:t>
      </w:r>
      <w:r>
        <w:rPr>
          <w:rFonts w:hint="eastAsia" w:ascii="仿宋_GB2312" w:hAnsi="仿宋_GB2312" w:eastAsia="仿宋_GB2312" w:cs="仿宋_GB2312"/>
          <w:sz w:val="32"/>
          <w:szCs w:val="32"/>
          <w:lang w:val="en-US" w:eastAsia="zh-CN"/>
        </w:rPr>
        <w:t>2022年</w:t>
      </w:r>
      <w:r>
        <w:rPr>
          <w:rFonts w:hint="eastAsia" w:ascii="仿宋_GB2312" w:hAnsi="仿宋_GB2312" w:eastAsia="仿宋_GB2312" w:cs="仿宋_GB2312"/>
          <w:sz w:val="32"/>
          <w:szCs w:val="32"/>
          <w:lang w:eastAsia="zh-CN"/>
        </w:rPr>
        <w:t>）编写工作</w:t>
      </w:r>
      <w:r>
        <w:rPr>
          <w:rFonts w:hint="eastAsia" w:ascii="仿宋_GB2312" w:hAnsi="仿宋_GB2312" w:eastAsia="仿宋_GB2312" w:cs="仿宋_GB2312"/>
          <w:sz w:val="32"/>
          <w:szCs w:val="32"/>
        </w:rPr>
        <w:t>。</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绩效指标：2种</w:t>
      </w:r>
      <w:r>
        <w:rPr>
          <w:rFonts w:hint="eastAsia" w:ascii="仿宋_GB2312" w:hAnsi="仿宋_GB2312" w:eastAsia="仿宋_GB2312" w:cs="仿宋_GB2312"/>
          <w:sz w:val="32"/>
          <w:szCs w:val="32"/>
          <w:lang w:eastAsia="zh-CN"/>
        </w:rPr>
        <w:t>编研材料高质量完成</w:t>
      </w:r>
      <w:r>
        <w:rPr>
          <w:rFonts w:hint="eastAsia" w:ascii="仿宋_GB2312" w:hAnsi="仿宋_GB2312" w:eastAsia="仿宋_GB2312" w:cs="仿宋_GB2312"/>
          <w:sz w:val="32"/>
          <w:szCs w:val="32"/>
        </w:rPr>
        <w:t>。</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（七）馆藏档案信息化建设</w:t>
      </w:r>
    </w:p>
    <w:p>
      <w:pPr>
        <w:spacing w:line="500" w:lineRule="exact"/>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绩效目标：①</w:t>
      </w:r>
      <w:r>
        <w:rPr>
          <w:rFonts w:hint="eastAsia" w:ascii="仿宋_GB2312" w:hAnsi="仿宋_GB2312" w:eastAsia="仿宋_GB2312" w:cs="仿宋_GB2312"/>
          <w:sz w:val="32"/>
          <w:szCs w:val="32"/>
          <w:lang w:eastAsia="zh-CN"/>
        </w:rPr>
        <w:t>将</w:t>
      </w:r>
      <w:r>
        <w:rPr>
          <w:rFonts w:hint="eastAsia" w:ascii="仿宋_GB2312" w:hAnsi="仿宋_GB2312" w:eastAsia="仿宋_GB2312" w:cs="仿宋_GB2312"/>
          <w:sz w:val="32"/>
          <w:szCs w:val="32"/>
        </w:rPr>
        <w:t>接收进馆的各类</w:t>
      </w:r>
      <w:r>
        <w:rPr>
          <w:rFonts w:hint="eastAsia" w:ascii="仿宋_GB2312" w:hAnsi="仿宋_GB2312" w:eastAsia="仿宋_GB2312" w:cs="仿宋_GB2312"/>
          <w:sz w:val="32"/>
          <w:szCs w:val="32"/>
          <w:lang w:eastAsia="zh-CN"/>
        </w:rPr>
        <w:t>数字化档案数据</w:t>
      </w:r>
      <w:r>
        <w:rPr>
          <w:rFonts w:hint="eastAsia" w:ascii="仿宋_GB2312" w:hAnsi="仿宋_GB2312" w:eastAsia="仿宋_GB2312" w:cs="仿宋_GB2312"/>
          <w:sz w:val="32"/>
          <w:szCs w:val="32"/>
        </w:rPr>
        <w:t>挂接、转换到对外提供利用的大数据平台。②</w:t>
      </w:r>
      <w:r>
        <w:rPr>
          <w:rFonts w:hint="eastAsia" w:ascii="仿宋_GB2312" w:hAnsi="仿宋_GB2312" w:eastAsia="仿宋_GB2312" w:cs="仿宋_GB2312"/>
          <w:sz w:val="32"/>
          <w:szCs w:val="32"/>
          <w:lang w:eastAsia="zh-CN"/>
        </w:rPr>
        <w:t>馆藏档案数字化完成文书档案</w:t>
      </w:r>
      <w:r>
        <w:rPr>
          <w:rFonts w:hint="eastAsia" w:ascii="仿宋_GB2312" w:hAnsi="仿宋_GB2312" w:eastAsia="仿宋_GB2312" w:cs="仿宋_GB2312"/>
          <w:sz w:val="32"/>
          <w:szCs w:val="32"/>
          <w:lang w:val="en-US" w:eastAsia="zh-CN"/>
        </w:rPr>
        <w:t>3万页全文扫描任务。</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绩效指标：100%完成</w:t>
      </w:r>
      <w:r>
        <w:rPr>
          <w:rFonts w:hint="eastAsia" w:ascii="仿宋_GB2312" w:hAnsi="仿宋_GB2312" w:eastAsia="仿宋_GB2312" w:cs="仿宋_GB2312"/>
          <w:sz w:val="32"/>
          <w:szCs w:val="32"/>
          <w:lang w:eastAsia="zh-CN"/>
        </w:rPr>
        <w:t>，为建设数字化档案馆、提高信息化建设水平打下良好基础</w:t>
      </w:r>
      <w:r>
        <w:rPr>
          <w:rFonts w:hint="eastAsia" w:ascii="仿宋_GB2312" w:hAnsi="仿宋_GB2312" w:eastAsia="仿宋_GB2312" w:cs="仿宋_GB2312"/>
          <w:sz w:val="32"/>
          <w:szCs w:val="32"/>
        </w:rPr>
        <w:t>。</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（八）做好机关党建工作</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绩效目标：全面完成党建工作任务。</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绩效指标：达县要求。</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（九）配合好县委、县政府中心工作。</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绩效目标：</w:t>
      </w:r>
      <w:r>
        <w:rPr>
          <w:rFonts w:hint="eastAsia" w:ascii="仿宋_GB2312" w:hAnsi="仿宋_GB2312" w:eastAsia="仿宋_GB2312" w:cs="仿宋_GB2312"/>
          <w:sz w:val="32"/>
          <w:szCs w:val="32"/>
          <w:lang w:eastAsia="zh-CN"/>
        </w:rPr>
        <w:t>配合完成县委、县政府中心</w:t>
      </w:r>
      <w:r>
        <w:rPr>
          <w:rFonts w:hint="eastAsia" w:ascii="仿宋_GB2312" w:hAnsi="仿宋_GB2312" w:eastAsia="仿宋_GB2312" w:cs="仿宋_GB2312"/>
          <w:sz w:val="32"/>
          <w:szCs w:val="32"/>
        </w:rPr>
        <w:t>工作。</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绩效指标：达县要求。</w:t>
      </w:r>
    </w:p>
    <w:p>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（三）工作保障措施</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实现本年度发展规划目标的保障措施</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1、维护档案完整与安全</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保障措施：①购置完善必要设施设备，</w:t>
      </w:r>
      <w:r>
        <w:rPr>
          <w:rFonts w:hint="eastAsia" w:ascii="仿宋_GB2312" w:hAnsi="仿宋_GB2312" w:eastAsia="仿宋_GB2312" w:cs="仿宋_GB2312"/>
          <w:sz w:val="32"/>
          <w:szCs w:val="32"/>
          <w:lang w:eastAsia="zh-CN"/>
        </w:rPr>
        <w:t>提高档案馆库房智能化管理水平，</w:t>
      </w:r>
      <w:r>
        <w:rPr>
          <w:rFonts w:hint="eastAsia" w:ascii="仿宋_GB2312" w:hAnsi="仿宋_GB2312" w:eastAsia="仿宋_GB2312" w:cs="仿宋_GB2312"/>
          <w:sz w:val="32"/>
          <w:szCs w:val="32"/>
        </w:rPr>
        <w:t>达到“</w:t>
      </w:r>
      <w:r>
        <w:rPr>
          <w:rFonts w:hint="eastAsia" w:ascii="仿宋_GB2312" w:hAnsi="仿宋_GB2312" w:eastAsia="仿宋_GB2312" w:cs="仿宋_GB2312"/>
          <w:sz w:val="32"/>
          <w:szCs w:val="32"/>
          <w:lang w:eastAsia="zh-CN"/>
        </w:rPr>
        <w:t>十</w:t>
      </w:r>
      <w:r>
        <w:rPr>
          <w:rFonts w:hint="eastAsia" w:ascii="仿宋_GB2312" w:hAnsi="仿宋_GB2312" w:eastAsia="仿宋_GB2312" w:cs="仿宋_GB2312"/>
          <w:sz w:val="32"/>
          <w:szCs w:val="32"/>
        </w:rPr>
        <w:t>防”要求。②完善并落实安全保管制度，如除尘、消毒、防火</w:t>
      </w:r>
      <w:r>
        <w:rPr>
          <w:rFonts w:hint="eastAsia" w:ascii="仿宋_GB2312" w:hAnsi="仿宋_GB2312" w:eastAsia="仿宋_GB2312" w:cs="仿宋_GB2312"/>
          <w:sz w:val="32"/>
          <w:szCs w:val="32"/>
          <w:lang w:eastAsia="zh-CN"/>
        </w:rPr>
        <w:t>、防水</w:t>
      </w:r>
      <w:r>
        <w:rPr>
          <w:rFonts w:hint="eastAsia" w:ascii="仿宋_GB2312" w:hAnsi="仿宋_GB2312" w:eastAsia="仿宋_GB2312" w:cs="仿宋_GB2312"/>
          <w:sz w:val="32"/>
          <w:szCs w:val="32"/>
        </w:rPr>
        <w:t>等。</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2、接收档案</w:t>
      </w:r>
      <w:r>
        <w:rPr>
          <w:rFonts w:hint="eastAsia" w:ascii="仿宋_GB2312" w:hAnsi="仿宋_GB2312" w:eastAsia="仿宋_GB2312" w:cs="仿宋_GB2312"/>
          <w:sz w:val="32"/>
          <w:szCs w:val="32"/>
        </w:rPr>
        <w:tab/>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保障措施：①预留出接收空间。②制定档案接收日程表。</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3、征集档案</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保障措施：①媒体渠道征集。②定向征集。</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4、开放档案</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保障措施：①依规鉴定编目。②及时对档案利用者开放。</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5、档案整理</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保障措施：①制定工作计划。②督促工作落实。</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6、档案编研</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保障措施：依据馆藏档案资料完成2种编研材料。</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7、信息化建设</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保障措施：①购置必要档案数字化设施</w:t>
      </w:r>
      <w:r>
        <w:rPr>
          <w:rFonts w:hint="eastAsia" w:ascii="仿宋_GB2312" w:hAnsi="仿宋_GB2312" w:eastAsia="仿宋_GB2312" w:cs="仿宋_GB2312"/>
          <w:sz w:val="32"/>
          <w:szCs w:val="32"/>
          <w:lang w:eastAsia="zh-CN"/>
        </w:rPr>
        <w:t>及软件，</w:t>
      </w:r>
      <w:r>
        <w:rPr>
          <w:rFonts w:hint="eastAsia" w:ascii="仿宋_GB2312" w:hAnsi="仿宋_GB2312" w:eastAsia="仿宋_GB2312" w:cs="仿宋_GB2312"/>
          <w:sz w:val="32"/>
          <w:szCs w:val="32"/>
        </w:rPr>
        <w:t>购买必要的社会服务。②对相关工作人员进行知识技能</w:t>
      </w:r>
      <w:r>
        <w:rPr>
          <w:rFonts w:hint="eastAsia" w:ascii="仿宋_GB2312" w:hAnsi="仿宋_GB2312" w:eastAsia="仿宋_GB2312" w:cs="仿宋_GB2312"/>
          <w:sz w:val="32"/>
          <w:szCs w:val="32"/>
          <w:lang w:eastAsia="zh-CN"/>
        </w:rPr>
        <w:t>保密</w:t>
      </w:r>
      <w:r>
        <w:rPr>
          <w:rFonts w:hint="eastAsia" w:ascii="仿宋_GB2312" w:hAnsi="仿宋_GB2312" w:eastAsia="仿宋_GB2312" w:cs="仿宋_GB2312"/>
          <w:sz w:val="32"/>
          <w:szCs w:val="32"/>
        </w:rPr>
        <w:t>培训。</w:t>
      </w:r>
    </w:p>
    <w:p>
      <w:pPr>
        <w:spacing w:line="5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8、档案查阅服务</w:t>
      </w:r>
    </w:p>
    <w:p>
      <w:pPr>
        <w:spacing w:line="500" w:lineRule="exact"/>
        <w:ind w:firstLine="640" w:firstLineChars="200"/>
        <w:jc w:val="left"/>
        <w:rPr>
          <w:rFonts w:hint="eastAsia" w:ascii="仿宋_GB2312" w:hAnsi="仿宋_GB2312" w:eastAsia="仿宋_GB2312" w:cs="仿宋_GB2312"/>
          <w:sz w:val="32"/>
          <w:szCs w:val="32"/>
        </w:rPr>
        <w:sectPr>
          <w:footerReference r:id="rId3" w:type="default"/>
          <w:pgSz w:w="11907" w:h="16839"/>
          <w:pgMar w:top="1984" w:right="1304" w:bottom="1134" w:left="1304" w:header="851" w:footer="992" w:gutter="0"/>
          <w:pgNumType w:start="1"/>
          <w:cols w:space="720" w:num="1"/>
          <w:docGrid w:type="lines" w:linePitch="312" w:charSpace="0"/>
        </w:sectPr>
      </w:pPr>
      <w:r>
        <w:rPr>
          <w:rFonts w:hint="eastAsia" w:ascii="仿宋_GB2312" w:hAnsi="仿宋_GB2312" w:eastAsia="仿宋_GB2312" w:cs="仿宋_GB2312"/>
          <w:sz w:val="32"/>
          <w:szCs w:val="32"/>
        </w:rPr>
        <w:t>保障措施：</w:t>
      </w:r>
      <w:r>
        <w:rPr>
          <w:rFonts w:hint="eastAsia" w:ascii="仿宋_GB2312" w:hAnsi="仿宋_GB2312" w:eastAsia="仿宋_GB2312" w:cs="仿宋_GB2312"/>
          <w:sz w:val="32"/>
          <w:szCs w:val="32"/>
          <w:lang w:eastAsia="zh-CN"/>
        </w:rPr>
        <w:t>实行微笑服务、延时服务、预约服务，全年</w:t>
      </w:r>
      <w:r>
        <w:rPr>
          <w:rFonts w:hint="eastAsia" w:ascii="仿宋_GB2312" w:hAnsi="仿宋_GB2312" w:eastAsia="仿宋_GB2312" w:cs="仿宋_GB2312"/>
          <w:sz w:val="32"/>
          <w:szCs w:val="32"/>
        </w:rPr>
        <w:t>接待档案利用者</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00人次以上，利用档案1500卷以上。</w:t>
      </w:r>
    </w:p>
    <w:p>
      <w:pPr>
        <w:overflowPunct w:val="0"/>
        <w:adjustRightInd w:val="0"/>
        <w:snapToGrid w:val="0"/>
        <w:spacing w:after="156" w:afterLines="50" w:line="580" w:lineRule="exact"/>
        <w:ind w:firstLine="630" w:firstLineChars="196"/>
        <w:jc w:val="left"/>
        <w:rPr>
          <w:rFonts w:ascii="楷体_GB2312" w:eastAsia="楷体_GB2312" w:cs="Times New Roman"/>
          <w:b/>
          <w:sz w:val="32"/>
          <w:szCs w:val="32"/>
        </w:rPr>
      </w:pPr>
      <w:r>
        <w:rPr>
          <w:rFonts w:hint="eastAsia" w:ascii="楷体_GB2312" w:eastAsia="楷体_GB2312" w:cs="Times New Roman"/>
          <w:b/>
          <w:sz w:val="32"/>
          <w:szCs w:val="32"/>
        </w:rPr>
        <w:t>（四）部门整体支出绩效指标</w:t>
      </w:r>
    </w:p>
    <w:tbl>
      <w:tblPr>
        <w:tblStyle w:val="8"/>
        <w:tblW w:w="8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1" w:type="dxa"/>
          <w:bottom w:w="0" w:type="dxa"/>
          <w:right w:w="11" w:type="dxa"/>
        </w:tblCellMar>
      </w:tblPr>
      <w:tblGrid>
        <w:gridCol w:w="978"/>
        <w:gridCol w:w="1195"/>
        <w:gridCol w:w="1520"/>
        <w:gridCol w:w="1192"/>
        <w:gridCol w:w="1192"/>
        <w:gridCol w:w="537"/>
        <w:gridCol w:w="429"/>
        <w:gridCol w:w="443"/>
        <w:gridCol w:w="1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restart"/>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一级指标</w:t>
            </w:r>
          </w:p>
        </w:tc>
        <w:tc>
          <w:tcPr>
            <w:tcW w:w="1195" w:type="dxa"/>
            <w:vMerge w:val="restart"/>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二级指标</w:t>
            </w:r>
          </w:p>
        </w:tc>
        <w:tc>
          <w:tcPr>
            <w:tcW w:w="1520" w:type="dxa"/>
            <w:vMerge w:val="restart"/>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三级指标　</w:t>
            </w:r>
          </w:p>
        </w:tc>
        <w:tc>
          <w:tcPr>
            <w:tcW w:w="1192" w:type="dxa"/>
            <w:vMerge w:val="restart"/>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评（扣）分标准</w:t>
            </w:r>
          </w:p>
        </w:tc>
        <w:tc>
          <w:tcPr>
            <w:tcW w:w="1192" w:type="dxa"/>
            <w:vMerge w:val="restart"/>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绩效指标描述</w:t>
            </w:r>
          </w:p>
        </w:tc>
        <w:tc>
          <w:tcPr>
            <w:tcW w:w="1409" w:type="dxa"/>
            <w:gridSpan w:val="3"/>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指标值</w:t>
            </w:r>
          </w:p>
        </w:tc>
        <w:tc>
          <w:tcPr>
            <w:tcW w:w="1380" w:type="dxa"/>
            <w:vMerge w:val="restart"/>
            <w:noWrap w:val="0"/>
            <w:vAlign w:val="center"/>
          </w:tcPr>
          <w:p>
            <w:pPr>
              <w:widowControl/>
              <w:overflowPunct w:val="0"/>
              <w:adjustRightInd w:val="0"/>
              <w:snapToGrid w:val="0"/>
              <w:jc w:val="left"/>
              <w:rPr>
                <w:rFonts w:eastAsia="仿宋_GB2312"/>
                <w:kern w:val="0"/>
                <w:sz w:val="18"/>
                <w:szCs w:val="18"/>
              </w:rPr>
            </w:pPr>
            <w:r>
              <w:rPr>
                <w:rFonts w:eastAsia="仿宋_GB2312"/>
                <w:kern w:val="0"/>
                <w:sz w:val="18"/>
                <w:szCs w:val="18"/>
              </w:rPr>
              <w:t>指标值确定依据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tc>
        <w:tc>
          <w:tcPr>
            <w:tcW w:w="1520" w:type="dxa"/>
            <w:vMerge w:val="continue"/>
            <w:noWrap w:val="0"/>
            <w:vAlign w:val="center"/>
          </w:tcPr>
          <w:p/>
        </w:tc>
        <w:tc>
          <w:tcPr>
            <w:tcW w:w="1192" w:type="dxa"/>
            <w:vMerge w:val="continue"/>
            <w:noWrap w:val="0"/>
            <w:vAlign w:val="center"/>
          </w:tcPr>
          <w:p/>
        </w:tc>
        <w:tc>
          <w:tcPr>
            <w:tcW w:w="1192" w:type="dxa"/>
            <w:vMerge w:val="continue"/>
            <w:noWrap w:val="0"/>
            <w:vAlign w:val="center"/>
          </w:tcPr>
          <w:p/>
        </w:tc>
        <w:tc>
          <w:tcPr>
            <w:tcW w:w="537" w:type="dxa"/>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符号</w:t>
            </w:r>
          </w:p>
        </w:tc>
        <w:tc>
          <w:tcPr>
            <w:tcW w:w="429" w:type="dxa"/>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值</w:t>
            </w:r>
          </w:p>
        </w:tc>
        <w:tc>
          <w:tcPr>
            <w:tcW w:w="443" w:type="dxa"/>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单位</w:t>
            </w:r>
          </w:p>
        </w:tc>
        <w:tc>
          <w:tcPr>
            <w:tcW w:w="1380" w:type="dxa"/>
            <w:vMerge w:val="continue"/>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restart"/>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部门产出</w:t>
            </w:r>
          </w:p>
        </w:tc>
        <w:tc>
          <w:tcPr>
            <w:tcW w:w="1195" w:type="dxa"/>
            <w:vMerge w:val="restart"/>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数量</w:t>
            </w:r>
          </w:p>
        </w:tc>
        <w:tc>
          <w:tcPr>
            <w:tcW w:w="152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000000"/>
                <w:kern w:val="0"/>
                <w:sz w:val="21"/>
                <w:szCs w:val="21"/>
                <w:lang w:val="en-US" w:eastAsia="zh-CN" w:bidi="ar-SA"/>
              </w:rPr>
            </w:pPr>
            <w:r>
              <w:rPr>
                <w:rFonts w:hint="eastAsia" w:ascii="仿宋_GB2312" w:hAnsi="仿宋_GB2312" w:eastAsia="仿宋_GB2312" w:cs="仿宋_GB2312"/>
                <w:b w:val="0"/>
                <w:bCs/>
                <w:i w:val="0"/>
                <w:color w:val="000000"/>
                <w:kern w:val="0"/>
                <w:sz w:val="21"/>
                <w:szCs w:val="21"/>
                <w:u w:val="none"/>
                <w:lang w:val="en-US" w:eastAsia="zh-CN" w:bidi="ar"/>
              </w:rPr>
              <w:t>馆藏档案安全保管</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b w:val="0"/>
                <w:bCs/>
                <w:color w:val="000000"/>
                <w:kern w:val="0"/>
                <w:sz w:val="21"/>
                <w:szCs w:val="21"/>
                <w:lang w:val="en-US" w:eastAsia="zh-CN" w:bidi="ar-SA"/>
              </w:rPr>
            </w:pPr>
            <w:r>
              <w:rPr>
                <w:rFonts w:hint="eastAsia" w:ascii="仿宋_GB2312" w:hAnsi="仿宋_GB2312" w:eastAsia="仿宋_GB2312" w:cs="仿宋_GB2312"/>
                <w:b w:val="0"/>
                <w:bCs/>
                <w:color w:val="000000"/>
                <w:kern w:val="0"/>
                <w:sz w:val="21"/>
                <w:szCs w:val="21"/>
                <w:lang w:eastAsia="zh-CN"/>
              </w:rPr>
              <w:t>达到预期目标满分，未达到预期目标则按完成比例的相应权重得分。</w:t>
            </w:r>
          </w:p>
        </w:tc>
        <w:tc>
          <w:tcPr>
            <w:tcW w:w="1192"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2"/>
                <w:sz w:val="21"/>
                <w:szCs w:val="21"/>
                <w:u w:val="none"/>
                <w:lang w:val="en-US" w:eastAsia="zh-CN" w:bidi="ar-SA"/>
              </w:rPr>
            </w:pPr>
            <w:r>
              <w:rPr>
                <w:rFonts w:hint="eastAsia" w:ascii="仿宋_GB2312" w:hAnsi="仿宋_GB2312" w:eastAsia="仿宋_GB2312" w:cs="仿宋_GB2312"/>
                <w:b w:val="0"/>
                <w:bCs/>
                <w:i w:val="0"/>
                <w:color w:val="000000"/>
                <w:kern w:val="0"/>
                <w:sz w:val="21"/>
                <w:szCs w:val="21"/>
                <w:u w:val="none"/>
                <w:lang w:val="en-US" w:eastAsia="zh-CN" w:bidi="ar"/>
              </w:rPr>
              <w:t>档案完整、安全</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10.756</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万卷</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tc>
        <w:tc>
          <w:tcPr>
            <w:tcW w:w="152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000000"/>
                <w:kern w:val="0"/>
                <w:sz w:val="21"/>
                <w:szCs w:val="21"/>
                <w:lang w:val="en-US" w:eastAsia="zh-CN" w:bidi="ar-SA"/>
              </w:rPr>
            </w:pPr>
            <w:r>
              <w:rPr>
                <w:rFonts w:hint="eastAsia" w:ascii="仿宋_GB2312" w:hAnsi="仿宋_GB2312" w:eastAsia="仿宋_GB2312" w:cs="仿宋_GB2312"/>
                <w:b w:val="0"/>
                <w:bCs/>
                <w:i w:val="0"/>
                <w:color w:val="000000"/>
                <w:kern w:val="0"/>
                <w:sz w:val="21"/>
                <w:szCs w:val="21"/>
                <w:u w:val="none"/>
                <w:lang w:val="en-US" w:eastAsia="zh-CN" w:bidi="ar"/>
              </w:rPr>
              <w:t>接收征集档案</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b w:val="0"/>
                <w:bCs/>
                <w:color w:val="000000"/>
                <w:kern w:val="0"/>
                <w:sz w:val="21"/>
                <w:szCs w:val="21"/>
                <w:lang w:val="en-US" w:eastAsia="zh-CN" w:bidi="ar-SA"/>
              </w:rPr>
            </w:pPr>
            <w:r>
              <w:rPr>
                <w:rFonts w:hint="eastAsia" w:ascii="仿宋_GB2312" w:hAnsi="仿宋_GB2312" w:eastAsia="仿宋_GB2312" w:cs="仿宋_GB2312"/>
                <w:b w:val="0"/>
                <w:bCs/>
                <w:color w:val="000000"/>
                <w:kern w:val="0"/>
                <w:sz w:val="21"/>
                <w:szCs w:val="21"/>
                <w:lang w:eastAsia="zh-CN"/>
              </w:rPr>
              <w:t>达到预期目标满分，未达到预期目标则按完成比例的相应权重得分。</w:t>
            </w:r>
          </w:p>
        </w:tc>
        <w:tc>
          <w:tcPr>
            <w:tcW w:w="1192"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2"/>
                <w:sz w:val="21"/>
                <w:szCs w:val="21"/>
                <w:u w:val="none"/>
                <w:lang w:val="en-US" w:eastAsia="zh-CN" w:bidi="ar-SA"/>
              </w:rPr>
            </w:pPr>
            <w:r>
              <w:rPr>
                <w:rFonts w:hint="eastAsia" w:ascii="仿宋_GB2312" w:hAnsi="仿宋_GB2312" w:eastAsia="仿宋_GB2312" w:cs="仿宋_GB2312"/>
                <w:b w:val="0"/>
                <w:bCs/>
                <w:i w:val="0"/>
                <w:color w:val="000000"/>
                <w:kern w:val="0"/>
                <w:sz w:val="21"/>
                <w:szCs w:val="21"/>
                <w:u w:val="none"/>
                <w:lang w:val="en-US" w:eastAsia="zh-CN" w:bidi="ar"/>
              </w:rPr>
              <w:t>接收进馆规范档案</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1</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万件</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tc>
        <w:tc>
          <w:tcPr>
            <w:tcW w:w="152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000000"/>
                <w:kern w:val="0"/>
                <w:sz w:val="21"/>
                <w:szCs w:val="21"/>
                <w:lang w:val="en-US" w:eastAsia="zh-CN" w:bidi="ar-SA"/>
              </w:rPr>
            </w:pPr>
            <w:r>
              <w:rPr>
                <w:rFonts w:hint="eastAsia" w:ascii="仿宋_GB2312" w:hAnsi="仿宋_GB2312" w:eastAsia="仿宋_GB2312" w:cs="仿宋_GB2312"/>
                <w:b w:val="0"/>
                <w:bCs/>
                <w:i w:val="0"/>
                <w:color w:val="000000"/>
                <w:kern w:val="0"/>
                <w:sz w:val="21"/>
                <w:szCs w:val="21"/>
                <w:u w:val="none"/>
                <w:lang w:val="en-US" w:eastAsia="zh-CN" w:bidi="ar"/>
              </w:rPr>
              <w:t>档案整理</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b w:val="0"/>
                <w:bCs/>
                <w:color w:val="000000"/>
                <w:kern w:val="0"/>
                <w:sz w:val="21"/>
                <w:szCs w:val="21"/>
                <w:lang w:val="en-US" w:eastAsia="zh-CN" w:bidi="ar-SA"/>
              </w:rPr>
            </w:pPr>
            <w:r>
              <w:rPr>
                <w:rFonts w:hint="eastAsia" w:ascii="仿宋_GB2312" w:hAnsi="仿宋_GB2312" w:eastAsia="仿宋_GB2312" w:cs="仿宋_GB2312"/>
                <w:b w:val="0"/>
                <w:bCs/>
                <w:color w:val="000000"/>
                <w:kern w:val="0"/>
                <w:sz w:val="21"/>
                <w:szCs w:val="21"/>
                <w:lang w:eastAsia="zh-CN"/>
              </w:rPr>
              <w:t>达到预期目标满分，未达到预期目标则按完成比例的相应权重得分。</w:t>
            </w:r>
          </w:p>
        </w:tc>
        <w:tc>
          <w:tcPr>
            <w:tcW w:w="1192"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2"/>
                <w:sz w:val="21"/>
                <w:szCs w:val="21"/>
                <w:u w:val="none"/>
                <w:lang w:val="en-US" w:eastAsia="zh-CN" w:bidi="ar-SA"/>
              </w:rPr>
            </w:pPr>
            <w:r>
              <w:rPr>
                <w:rFonts w:hint="eastAsia" w:ascii="仿宋_GB2312" w:hAnsi="仿宋_GB2312" w:eastAsia="仿宋_GB2312" w:cs="仿宋_GB2312"/>
                <w:b w:val="0"/>
                <w:bCs/>
                <w:i w:val="0"/>
                <w:color w:val="000000"/>
                <w:kern w:val="0"/>
                <w:sz w:val="21"/>
                <w:szCs w:val="21"/>
                <w:u w:val="none"/>
                <w:lang w:val="en-US" w:eastAsia="zh-CN" w:bidi="ar"/>
              </w:rPr>
              <w:t>保护性整理馆藏档案</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3000</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卷</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tc>
        <w:tc>
          <w:tcPr>
            <w:tcW w:w="152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000000"/>
                <w:kern w:val="0"/>
                <w:sz w:val="21"/>
                <w:szCs w:val="21"/>
                <w:lang w:val="en-US" w:eastAsia="zh-CN" w:bidi="ar-SA"/>
              </w:rPr>
            </w:pPr>
            <w:r>
              <w:rPr>
                <w:rFonts w:hint="eastAsia" w:ascii="仿宋_GB2312" w:hAnsi="仿宋_GB2312" w:eastAsia="仿宋_GB2312" w:cs="仿宋_GB2312"/>
                <w:b w:val="0"/>
                <w:bCs/>
                <w:i w:val="0"/>
                <w:color w:val="000000"/>
                <w:kern w:val="0"/>
                <w:sz w:val="21"/>
                <w:szCs w:val="21"/>
                <w:u w:val="none"/>
                <w:lang w:val="en-US" w:eastAsia="zh-CN" w:bidi="ar"/>
              </w:rPr>
              <w:t>档案信息化建设</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b w:val="0"/>
                <w:bCs/>
                <w:color w:val="000000"/>
                <w:kern w:val="0"/>
                <w:sz w:val="21"/>
                <w:szCs w:val="21"/>
                <w:lang w:val="en-US" w:eastAsia="zh-CN" w:bidi="ar-SA"/>
              </w:rPr>
            </w:pPr>
            <w:r>
              <w:rPr>
                <w:rFonts w:hint="eastAsia" w:ascii="仿宋_GB2312" w:hAnsi="仿宋_GB2312" w:eastAsia="仿宋_GB2312" w:cs="仿宋_GB2312"/>
                <w:b w:val="0"/>
                <w:bCs/>
                <w:color w:val="000000"/>
                <w:kern w:val="0"/>
                <w:sz w:val="21"/>
                <w:szCs w:val="21"/>
                <w:lang w:eastAsia="zh-CN"/>
              </w:rPr>
              <w:t>达到预期目标满分，未达到预期目标则按完成比例的相应权重得分。</w:t>
            </w:r>
          </w:p>
        </w:tc>
        <w:tc>
          <w:tcPr>
            <w:tcW w:w="1192"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2"/>
                <w:sz w:val="21"/>
                <w:szCs w:val="21"/>
                <w:u w:val="none"/>
                <w:lang w:val="en-US" w:eastAsia="zh-CN" w:bidi="ar-SA"/>
              </w:rPr>
            </w:pPr>
            <w:r>
              <w:rPr>
                <w:rFonts w:hint="eastAsia" w:ascii="仿宋_GB2312" w:hAnsi="仿宋_GB2312" w:eastAsia="仿宋_GB2312" w:cs="仿宋_GB2312"/>
                <w:b w:val="0"/>
                <w:bCs/>
                <w:i w:val="0"/>
                <w:color w:val="000000"/>
                <w:kern w:val="0"/>
                <w:sz w:val="21"/>
                <w:szCs w:val="21"/>
                <w:u w:val="none"/>
                <w:lang w:val="en-US" w:eastAsia="zh-CN" w:bidi="ar"/>
              </w:rPr>
              <w:t>数字化档案数据挂接转换到大数据库完成率</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100</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比率</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tc>
        <w:tc>
          <w:tcPr>
            <w:tcW w:w="1520" w:type="dxa"/>
            <w:noWrap w:val="0"/>
            <w:vAlign w:val="center"/>
          </w:tcPr>
          <w:p>
            <w:pPr>
              <w:keepNext w:val="0"/>
              <w:keepLines w:val="0"/>
              <w:widowControl/>
              <w:suppressLineNumbers w:val="0"/>
              <w:jc w:val="left"/>
              <w:textAlignment w:val="center"/>
              <w:rPr>
                <w:rFonts w:ascii="Times New Roman" w:hAnsi="Times New Roman" w:eastAsia="仿宋_GB2312" w:cs="Times New Roman"/>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开发档案资源</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2"/>
                <w:sz w:val="21"/>
                <w:szCs w:val="21"/>
                <w:u w:val="none"/>
                <w:lang w:val="en-US" w:eastAsia="zh-CN" w:bidi="ar-SA"/>
              </w:rPr>
            </w:pPr>
            <w:r>
              <w:rPr>
                <w:rFonts w:hint="eastAsia" w:ascii="宋体" w:hAnsi="宋体" w:cs="宋体"/>
                <w:color w:val="000000"/>
                <w:kern w:val="0"/>
                <w:sz w:val="18"/>
                <w:szCs w:val="18"/>
                <w:lang w:val="en-US" w:eastAsia="zh-CN"/>
              </w:rPr>
              <w:t>完成</w:t>
            </w:r>
            <w:r>
              <w:rPr>
                <w:rFonts w:hint="eastAsia" w:ascii="宋体" w:hAnsi="宋体" w:eastAsia="宋体" w:cs="宋体"/>
                <w:color w:val="000000"/>
                <w:kern w:val="0"/>
                <w:sz w:val="18"/>
                <w:szCs w:val="18"/>
                <w:lang w:val="en-US" w:eastAsia="zh-CN"/>
              </w:rPr>
              <w:t>《永清县档案局（馆）基础数字汇编》</w:t>
            </w:r>
            <w:r>
              <w:rPr>
                <w:rFonts w:hint="eastAsia" w:ascii="宋体" w:hAnsi="宋体" w:cs="宋体"/>
                <w:color w:val="000000"/>
                <w:kern w:val="0"/>
                <w:sz w:val="18"/>
                <w:szCs w:val="18"/>
                <w:lang w:val="en-US" w:eastAsia="zh-CN"/>
              </w:rPr>
              <w:t>续编</w:t>
            </w:r>
            <w:r>
              <w:rPr>
                <w:rFonts w:hint="eastAsia" w:ascii="仿宋_GB2312" w:hAnsi="仿宋_GB2312" w:eastAsia="仿宋_GB2312" w:cs="仿宋_GB2312"/>
                <w:i w:val="0"/>
                <w:color w:val="000000"/>
                <w:kern w:val="0"/>
                <w:sz w:val="21"/>
                <w:szCs w:val="21"/>
                <w:u w:val="none"/>
                <w:lang w:val="en-US" w:eastAsia="zh-CN" w:bidi="ar"/>
              </w:rPr>
              <w:t>工作</w:t>
            </w:r>
          </w:p>
        </w:tc>
        <w:tc>
          <w:tcPr>
            <w:tcW w:w="537" w:type="dxa"/>
            <w:noWrap w:val="0"/>
            <w:vAlign w:val="center"/>
          </w:tcPr>
          <w:p>
            <w:pPr>
              <w:jc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color w:val="000000"/>
                <w:kern w:val="0"/>
                <w:sz w:val="18"/>
                <w:szCs w:val="18"/>
                <w:lang w:val="en-US" w:eastAsia="zh-CN"/>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100</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color w:val="000000"/>
                <w:kern w:val="0"/>
                <w:sz w:val="18"/>
                <w:szCs w:val="18"/>
                <w:lang w:eastAsia="zh-CN"/>
              </w:rPr>
              <w:t>比率</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tc>
        <w:tc>
          <w:tcPr>
            <w:tcW w:w="1520" w:type="dxa"/>
            <w:noWrap w:val="0"/>
            <w:vAlign w:val="center"/>
          </w:tcPr>
          <w:p>
            <w:pPr>
              <w:rPr>
                <w:rFonts w:hint="eastAsia" w:ascii="仿宋_GB2312" w:hAnsi="仿宋_GB2312" w:eastAsia="仿宋_GB2312" w:cs="仿宋_GB2312"/>
                <w:lang w:val="en-US" w:eastAsia="zh-CN"/>
              </w:rPr>
            </w:pPr>
            <w:r>
              <w:rPr>
                <w:rFonts w:hint="eastAsia" w:ascii="仿宋_GB2312" w:hAnsi="仿宋_GB2312" w:eastAsia="仿宋_GB2312" w:cs="仿宋_GB2312"/>
                <w:lang w:eastAsia="zh-CN"/>
              </w:rPr>
              <w:t>馆藏档案数字化</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完成档案全文扫描</w:t>
            </w:r>
          </w:p>
        </w:tc>
        <w:tc>
          <w:tcPr>
            <w:tcW w:w="537"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color w:val="000000"/>
                <w:kern w:val="0"/>
                <w:sz w:val="18"/>
                <w:szCs w:val="18"/>
                <w:lang w:val="en-US" w:eastAsia="zh-CN"/>
              </w:rPr>
              <w:t>=</w:t>
            </w:r>
          </w:p>
        </w:tc>
        <w:tc>
          <w:tcPr>
            <w:tcW w:w="429"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color w:val="000000"/>
                <w:kern w:val="0"/>
                <w:sz w:val="18"/>
                <w:szCs w:val="18"/>
                <w:lang w:val="en-US" w:eastAsia="zh-CN"/>
              </w:rPr>
              <w:t>3万</w:t>
            </w:r>
          </w:p>
        </w:tc>
        <w:tc>
          <w:tcPr>
            <w:tcW w:w="443"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color w:val="000000"/>
                <w:kern w:val="0"/>
                <w:sz w:val="18"/>
                <w:szCs w:val="18"/>
                <w:lang w:eastAsia="zh-CN"/>
              </w:rPr>
              <w:t>页</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tc>
        <w:tc>
          <w:tcPr>
            <w:tcW w:w="1520" w:type="dxa"/>
            <w:noWrap w:val="0"/>
            <w:vAlign w:val="center"/>
          </w:tcPr>
          <w:p>
            <w:pPr>
              <w:rPr>
                <w:rFonts w:hint="eastAsia" w:ascii="仿宋_GB2312" w:hAnsi="仿宋_GB2312" w:eastAsia="仿宋_GB2312" w:cs="仿宋_GB2312"/>
                <w:lang w:eastAsia="zh-CN"/>
              </w:rPr>
            </w:pPr>
            <w:r>
              <w:rPr>
                <w:rFonts w:hint="eastAsia" w:ascii="仿宋_GB2312" w:hAnsi="仿宋_GB2312" w:eastAsia="仿宋_GB2312" w:cs="仿宋_GB2312"/>
                <w:lang w:eastAsia="zh-CN"/>
              </w:rPr>
              <w:t>完成县委县政府中心工作</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eastAsia="zh-CN"/>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eastAsia="zh-CN"/>
              </w:rPr>
            </w:pPr>
            <w:r>
              <w:rPr>
                <w:rFonts w:hint="eastAsia" w:ascii="仿宋_GB2312" w:hAnsi="仿宋_GB2312" w:eastAsia="仿宋_GB2312" w:cs="仿宋_GB2312"/>
                <w:color w:val="000000"/>
                <w:kern w:val="0"/>
                <w:sz w:val="21"/>
                <w:szCs w:val="21"/>
                <w:lang w:eastAsia="zh-CN"/>
              </w:rPr>
              <w:t>四城同创、疫情防控、党建工作完成率</w:t>
            </w:r>
          </w:p>
        </w:tc>
        <w:tc>
          <w:tcPr>
            <w:tcW w:w="537"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w:t>
            </w:r>
          </w:p>
        </w:tc>
        <w:tc>
          <w:tcPr>
            <w:tcW w:w="429"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100</w:t>
            </w:r>
          </w:p>
        </w:tc>
        <w:tc>
          <w:tcPr>
            <w:tcW w:w="443"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lang w:eastAsia="zh-CN"/>
              </w:rPr>
              <w:t>比率</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tc>
        <w:tc>
          <w:tcPr>
            <w:tcW w:w="1520"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eastAsia="zh-CN"/>
              </w:rPr>
            </w:pPr>
            <w:r>
              <w:rPr>
                <w:rFonts w:hint="eastAsia" w:ascii="仿宋_GB2312" w:hAnsi="仿宋_GB2312" w:eastAsia="仿宋_GB2312" w:cs="仿宋_GB2312"/>
                <w:color w:val="000000"/>
                <w:kern w:val="0"/>
                <w:sz w:val="21"/>
                <w:szCs w:val="21"/>
                <w:lang w:eastAsia="zh-CN"/>
              </w:rPr>
              <w:t>保障机关工作正常运转，人员工资福利发放。</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eastAsia="zh-CN"/>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eastAsia="zh-CN"/>
              </w:rPr>
            </w:pPr>
            <w:r>
              <w:rPr>
                <w:rFonts w:hint="eastAsia" w:ascii="仿宋_GB2312" w:hAnsi="仿宋_GB2312" w:eastAsia="仿宋_GB2312" w:cs="仿宋_GB2312"/>
                <w:color w:val="000000"/>
                <w:kern w:val="0"/>
                <w:sz w:val="21"/>
                <w:szCs w:val="21"/>
                <w:lang w:eastAsia="zh-CN"/>
              </w:rPr>
              <w:t>机关工作正常运转和人员工资福利正常发放比率</w:t>
            </w:r>
          </w:p>
        </w:tc>
        <w:tc>
          <w:tcPr>
            <w:tcW w:w="537"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w:t>
            </w:r>
          </w:p>
        </w:tc>
        <w:tc>
          <w:tcPr>
            <w:tcW w:w="429"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18"/>
                <w:szCs w:val="18"/>
                <w:lang w:val="en-US" w:eastAsia="zh-CN"/>
              </w:rPr>
            </w:pPr>
            <w:r>
              <w:rPr>
                <w:rFonts w:hint="eastAsia" w:ascii="仿宋_GB2312" w:hAnsi="仿宋_GB2312" w:eastAsia="仿宋_GB2312" w:cs="仿宋_GB2312"/>
                <w:color w:val="000000"/>
                <w:kern w:val="0"/>
                <w:sz w:val="18"/>
                <w:szCs w:val="18"/>
                <w:lang w:val="en-US" w:eastAsia="zh-CN"/>
              </w:rPr>
              <w:t>100</w:t>
            </w:r>
          </w:p>
        </w:tc>
        <w:tc>
          <w:tcPr>
            <w:tcW w:w="443"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18"/>
                <w:szCs w:val="18"/>
                <w:lang w:eastAsia="zh-CN"/>
              </w:rPr>
            </w:pPr>
            <w:r>
              <w:rPr>
                <w:rFonts w:hint="eastAsia" w:ascii="仿宋_GB2312" w:hAnsi="仿宋_GB2312" w:eastAsia="仿宋_GB2312" w:cs="仿宋_GB2312"/>
                <w:color w:val="000000"/>
                <w:kern w:val="0"/>
                <w:sz w:val="18"/>
                <w:szCs w:val="18"/>
                <w:lang w:eastAsia="zh-CN"/>
              </w:rPr>
              <w:t>比率</w:t>
            </w:r>
          </w:p>
        </w:tc>
        <w:tc>
          <w:tcPr>
            <w:tcW w:w="1380" w:type="dxa"/>
            <w:noWrap w:val="0"/>
            <w:vAlign w:val="center"/>
          </w:tcPr>
          <w:p>
            <w:pPr>
              <w:widowControl/>
              <w:overflowPunct w:val="0"/>
              <w:adjustRightInd w:val="0"/>
              <w:snapToGrid w:val="0"/>
              <w:jc w:val="center"/>
              <w:rPr>
                <w:rFonts w:hint="eastAsia" w:ascii="仿宋_GB2312" w:hAnsi="仿宋_GB2312" w:eastAsia="仿宋_GB2312" w:cs="仿宋_GB2312"/>
                <w:kern w:val="0"/>
                <w:sz w:val="18"/>
                <w:szCs w:val="18"/>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restart"/>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质量</w:t>
            </w:r>
          </w:p>
        </w:tc>
        <w:tc>
          <w:tcPr>
            <w:tcW w:w="1520"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档案资料完好无损</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达到预期目标满分，未达到预期目标则不得分。</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无霉变、虫蛀等损害现象       无火灾水灾等责任事故</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100</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比率</w:t>
            </w:r>
          </w:p>
        </w:tc>
        <w:tc>
          <w:tcPr>
            <w:tcW w:w="1380" w:type="dxa"/>
            <w:noWrap w:val="0"/>
            <w:vAlign w:val="center"/>
          </w:tcPr>
          <w:p>
            <w:pPr>
              <w:widowControl/>
              <w:overflowPunct w:val="0"/>
              <w:adjustRightInd w:val="0"/>
              <w:snapToGrid w:val="0"/>
              <w:jc w:val="center"/>
              <w:rPr>
                <w:rFonts w:hint="eastAsia" w:ascii="仿宋_GB2312" w:hAnsi="仿宋_GB2312" w:eastAsia="仿宋_GB2312" w:cs="仿宋_GB2312"/>
                <w:kern w:val="0"/>
                <w:sz w:val="18"/>
                <w:szCs w:val="18"/>
                <w:lang w:eastAsia="zh-CN"/>
              </w:rPr>
            </w:pPr>
            <w:r>
              <w:rPr>
                <w:rFonts w:hint="eastAsia" w:ascii="仿宋_GB2312" w:hAnsi="仿宋_GB2312" w:eastAsia="仿宋_GB2312" w:cs="仿宋_GB2312"/>
                <w:kern w:val="0"/>
                <w:sz w:val="18"/>
                <w:szCs w:val="18"/>
                <w:lang w:eastAsia="zh-CN"/>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pPr>
              <w:widowControl/>
              <w:overflowPunct w:val="0"/>
              <w:adjustRightInd w:val="0"/>
              <w:snapToGrid w:val="0"/>
              <w:jc w:val="center"/>
              <w:rPr>
                <w:rFonts w:eastAsia="仿宋_GB2312"/>
                <w:kern w:val="0"/>
                <w:sz w:val="18"/>
                <w:szCs w:val="18"/>
              </w:rPr>
            </w:pPr>
          </w:p>
        </w:tc>
        <w:tc>
          <w:tcPr>
            <w:tcW w:w="1520"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接收档案规范</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达标率</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95</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比率</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pPr>
              <w:widowControl/>
              <w:overflowPunct w:val="0"/>
              <w:adjustRightInd w:val="0"/>
              <w:snapToGrid w:val="0"/>
              <w:jc w:val="center"/>
              <w:rPr>
                <w:rFonts w:eastAsia="仿宋_GB2312"/>
                <w:kern w:val="0"/>
                <w:sz w:val="18"/>
                <w:szCs w:val="18"/>
              </w:rPr>
            </w:pPr>
          </w:p>
        </w:tc>
        <w:tc>
          <w:tcPr>
            <w:tcW w:w="1520"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 xml:space="preserve">档案整理质量 </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达规范标准</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100</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比率</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pPr>
              <w:widowControl/>
              <w:overflowPunct w:val="0"/>
              <w:adjustRightInd w:val="0"/>
              <w:snapToGrid w:val="0"/>
              <w:jc w:val="center"/>
              <w:rPr>
                <w:rFonts w:eastAsia="仿宋_GB2312"/>
                <w:kern w:val="0"/>
                <w:sz w:val="18"/>
                <w:szCs w:val="18"/>
              </w:rPr>
            </w:pPr>
          </w:p>
        </w:tc>
        <w:tc>
          <w:tcPr>
            <w:tcW w:w="1520"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信息化建设</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数字化档案数据挂接转换达标率</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100</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比率</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pPr>
              <w:widowControl/>
              <w:overflowPunct w:val="0"/>
              <w:adjustRightInd w:val="0"/>
              <w:snapToGrid w:val="0"/>
              <w:jc w:val="center"/>
              <w:rPr>
                <w:rFonts w:eastAsia="仿宋_GB2312"/>
                <w:kern w:val="0"/>
                <w:sz w:val="18"/>
                <w:szCs w:val="18"/>
              </w:rPr>
            </w:pPr>
          </w:p>
        </w:tc>
        <w:tc>
          <w:tcPr>
            <w:tcW w:w="1520" w:type="dxa"/>
            <w:noWrap w:val="0"/>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1"/>
                <w:szCs w:val="21"/>
                <w:u w:val="none"/>
                <w:lang w:val="en-US" w:eastAsia="zh-CN" w:bidi="ar"/>
              </w:rPr>
            </w:pPr>
            <w:r>
              <w:rPr>
                <w:rFonts w:hint="eastAsia" w:ascii="仿宋_GB2312" w:hAnsi="仿宋_GB2312" w:eastAsia="仿宋_GB2312" w:cs="仿宋_GB2312"/>
                <w:i w:val="0"/>
                <w:color w:val="000000"/>
                <w:kern w:val="0"/>
                <w:sz w:val="21"/>
                <w:szCs w:val="21"/>
                <w:u w:val="none"/>
                <w:lang w:val="en-US" w:eastAsia="zh-CN" w:bidi="ar"/>
              </w:rPr>
              <w:t>馆藏档案数字化</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达到预期目标满分，未达到预期目标则不得分。</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1"/>
                <w:szCs w:val="21"/>
                <w:u w:val="none"/>
                <w:lang w:val="en-US" w:eastAsia="zh-CN" w:bidi="ar"/>
              </w:rPr>
            </w:pPr>
            <w:r>
              <w:rPr>
                <w:rFonts w:hint="eastAsia" w:ascii="仿宋_GB2312" w:hAnsi="仿宋_GB2312" w:eastAsia="仿宋_GB2312" w:cs="仿宋_GB2312"/>
                <w:i w:val="0"/>
                <w:color w:val="000000"/>
                <w:kern w:val="0"/>
                <w:sz w:val="21"/>
                <w:szCs w:val="21"/>
                <w:u w:val="none"/>
                <w:lang w:val="en-US" w:eastAsia="zh-CN" w:bidi="ar"/>
              </w:rPr>
              <w:t>档案全文扫描质量达标率</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98</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比率</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pPr>
              <w:widowControl/>
              <w:overflowPunct w:val="0"/>
              <w:adjustRightInd w:val="0"/>
              <w:snapToGrid w:val="0"/>
              <w:jc w:val="center"/>
              <w:rPr>
                <w:rFonts w:eastAsia="仿宋_GB2312"/>
                <w:kern w:val="0"/>
                <w:sz w:val="18"/>
                <w:szCs w:val="18"/>
              </w:rPr>
            </w:pPr>
          </w:p>
        </w:tc>
        <w:tc>
          <w:tcPr>
            <w:tcW w:w="1520" w:type="dxa"/>
            <w:noWrap w:val="0"/>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1"/>
                <w:szCs w:val="21"/>
                <w:u w:val="none"/>
                <w:lang w:val="en-US" w:eastAsia="zh-CN" w:bidi="ar"/>
              </w:rPr>
            </w:pPr>
            <w:r>
              <w:rPr>
                <w:rFonts w:hint="eastAsia" w:ascii="仿宋_GB2312" w:hAnsi="仿宋_GB2312" w:eastAsia="仿宋_GB2312" w:cs="仿宋_GB2312"/>
                <w:i w:val="0"/>
                <w:color w:val="000000"/>
                <w:kern w:val="0"/>
                <w:sz w:val="21"/>
                <w:szCs w:val="21"/>
                <w:u w:val="none"/>
                <w:lang w:val="en-US" w:eastAsia="zh-CN" w:bidi="ar"/>
              </w:rPr>
              <w:t>开发档案资源</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0"/>
                <w:sz w:val="21"/>
                <w:szCs w:val="21"/>
                <w:u w:val="none"/>
                <w:lang w:val="en-US" w:eastAsia="zh-CN" w:bidi="ar"/>
              </w:rPr>
            </w:pPr>
            <w:r>
              <w:rPr>
                <w:rFonts w:hint="eastAsia" w:ascii="仿宋_GB2312" w:hAnsi="仿宋_GB2312" w:eastAsia="仿宋_GB2312" w:cs="仿宋_GB2312"/>
                <w:color w:val="000000"/>
                <w:kern w:val="0"/>
                <w:sz w:val="21"/>
                <w:szCs w:val="21"/>
                <w:lang w:val="en-US" w:eastAsia="zh-CN"/>
              </w:rPr>
              <w:t>《永清县档案局（馆）基础数字汇编》</w:t>
            </w:r>
            <w:r>
              <w:rPr>
                <w:rFonts w:hint="eastAsia" w:ascii="仿宋_GB2312" w:hAnsi="仿宋_GB2312" w:eastAsia="仿宋_GB2312" w:cs="仿宋_GB2312"/>
                <w:i w:val="0"/>
                <w:color w:val="000000"/>
                <w:kern w:val="0"/>
                <w:sz w:val="21"/>
                <w:szCs w:val="21"/>
                <w:u w:val="none"/>
                <w:lang w:val="en-US" w:eastAsia="zh-CN" w:bidi="ar"/>
              </w:rPr>
              <w:t>续编质量达标率</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100</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比率</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pPr>
              <w:widowControl/>
              <w:overflowPunct w:val="0"/>
              <w:adjustRightInd w:val="0"/>
              <w:snapToGrid w:val="0"/>
              <w:jc w:val="center"/>
              <w:rPr>
                <w:rFonts w:eastAsia="仿宋_GB2312"/>
                <w:kern w:val="0"/>
                <w:sz w:val="18"/>
                <w:szCs w:val="18"/>
              </w:rPr>
            </w:pPr>
          </w:p>
        </w:tc>
        <w:tc>
          <w:tcPr>
            <w:tcW w:w="1520" w:type="dxa"/>
            <w:noWrap w:val="0"/>
            <w:vAlign w:val="center"/>
          </w:tcPr>
          <w:p>
            <w:pPr>
              <w:widowControl/>
              <w:overflowPunct w:val="0"/>
              <w:adjustRightInd w:val="0"/>
              <w:snapToGrid w:val="0"/>
              <w:jc w:val="center"/>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lang w:eastAsia="zh-CN"/>
              </w:rPr>
              <w:t>完成县委县政府中心工作</w:t>
            </w:r>
          </w:p>
        </w:tc>
        <w:tc>
          <w:tcPr>
            <w:tcW w:w="1192" w:type="dxa"/>
            <w:noWrap w:val="0"/>
            <w:vAlign w:val="center"/>
          </w:tcPr>
          <w:p>
            <w:pPr>
              <w:widowControl/>
              <w:overflowPunct w:val="0"/>
              <w:adjustRightInd w:val="0"/>
              <w:snapToGrid w:val="0"/>
              <w:jc w:val="left"/>
              <w:rPr>
                <w:rFonts w:hint="eastAsia" w:ascii="仿宋_GB2312" w:hAnsi="仿宋_GB2312" w:eastAsia="仿宋_GB2312" w:cs="仿宋_GB2312"/>
                <w:kern w:val="0"/>
                <w:sz w:val="21"/>
                <w:szCs w:val="21"/>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widowControl/>
              <w:overflowPunct w:val="0"/>
              <w:adjustRightInd w:val="0"/>
              <w:snapToGrid w:val="0"/>
              <w:jc w:val="left"/>
              <w:rPr>
                <w:rFonts w:hint="eastAsia" w:ascii="仿宋_GB2312" w:hAnsi="仿宋_GB2312" w:eastAsia="仿宋_GB2312" w:cs="仿宋_GB2312"/>
                <w:kern w:val="0"/>
                <w:sz w:val="21"/>
                <w:szCs w:val="21"/>
              </w:rPr>
            </w:pPr>
            <w:r>
              <w:rPr>
                <w:rFonts w:hint="eastAsia" w:ascii="仿宋_GB2312" w:hAnsi="仿宋_GB2312" w:eastAsia="仿宋_GB2312" w:cs="仿宋_GB2312"/>
                <w:color w:val="000000"/>
                <w:kern w:val="0"/>
                <w:sz w:val="21"/>
                <w:szCs w:val="21"/>
                <w:lang w:eastAsia="zh-CN"/>
              </w:rPr>
              <w:t>四城同创、疫情防控、党建工作达标率</w:t>
            </w:r>
          </w:p>
        </w:tc>
        <w:tc>
          <w:tcPr>
            <w:tcW w:w="537" w:type="dxa"/>
            <w:noWrap w:val="0"/>
            <w:vAlign w:val="center"/>
          </w:tcPr>
          <w:p>
            <w:pPr>
              <w:widowControl/>
              <w:overflowPunct w:val="0"/>
              <w:adjustRightInd w:val="0"/>
              <w:snapToGrid w:val="0"/>
              <w:jc w:val="center"/>
              <w:rPr>
                <w:rFonts w:hint="eastAsia" w:ascii="仿宋_GB2312" w:hAnsi="仿宋_GB2312" w:eastAsia="仿宋_GB2312" w:cs="仿宋_GB2312"/>
                <w:kern w:val="0"/>
                <w:sz w:val="18"/>
                <w:szCs w:val="18"/>
                <w:lang w:val="en-US" w:eastAsia="zh-CN"/>
              </w:rPr>
            </w:pPr>
            <w:r>
              <w:rPr>
                <w:rFonts w:hint="eastAsia" w:ascii="仿宋_GB2312" w:hAnsi="仿宋_GB2312" w:eastAsia="仿宋_GB2312" w:cs="仿宋_GB2312"/>
                <w:kern w:val="0"/>
                <w:sz w:val="18"/>
                <w:szCs w:val="18"/>
                <w:lang w:val="en-US" w:eastAsia="zh-CN"/>
              </w:rPr>
              <w:t>=</w:t>
            </w:r>
          </w:p>
        </w:tc>
        <w:tc>
          <w:tcPr>
            <w:tcW w:w="429" w:type="dxa"/>
            <w:noWrap w:val="0"/>
            <w:vAlign w:val="center"/>
          </w:tcPr>
          <w:p>
            <w:pPr>
              <w:widowControl/>
              <w:overflowPunct w:val="0"/>
              <w:adjustRightInd w:val="0"/>
              <w:snapToGrid w:val="0"/>
              <w:jc w:val="center"/>
              <w:rPr>
                <w:rFonts w:hint="eastAsia" w:ascii="仿宋_GB2312" w:hAnsi="仿宋_GB2312" w:eastAsia="仿宋_GB2312" w:cs="仿宋_GB2312"/>
                <w:kern w:val="0"/>
                <w:sz w:val="18"/>
                <w:szCs w:val="18"/>
                <w:lang w:val="en-US" w:eastAsia="zh-CN"/>
              </w:rPr>
            </w:pPr>
            <w:r>
              <w:rPr>
                <w:rFonts w:hint="eastAsia" w:ascii="仿宋_GB2312" w:hAnsi="仿宋_GB2312" w:eastAsia="仿宋_GB2312" w:cs="仿宋_GB2312"/>
                <w:kern w:val="0"/>
                <w:sz w:val="18"/>
                <w:szCs w:val="18"/>
                <w:lang w:val="en-US" w:eastAsia="zh-CN"/>
              </w:rPr>
              <w:t>100</w:t>
            </w:r>
          </w:p>
        </w:tc>
        <w:tc>
          <w:tcPr>
            <w:tcW w:w="443" w:type="dxa"/>
            <w:noWrap w:val="0"/>
            <w:vAlign w:val="center"/>
          </w:tcPr>
          <w:p>
            <w:pPr>
              <w:widowControl/>
              <w:overflowPunct w:val="0"/>
              <w:adjustRightInd w:val="0"/>
              <w:snapToGrid w:val="0"/>
              <w:jc w:val="center"/>
              <w:rPr>
                <w:rFonts w:hint="eastAsia" w:ascii="仿宋_GB2312" w:hAnsi="仿宋_GB2312" w:eastAsia="仿宋_GB2312" w:cs="仿宋_GB2312"/>
                <w:kern w:val="0"/>
                <w:sz w:val="18"/>
                <w:szCs w:val="18"/>
                <w:lang w:eastAsia="zh-CN"/>
              </w:rPr>
            </w:pPr>
            <w:r>
              <w:rPr>
                <w:rFonts w:hint="eastAsia" w:ascii="仿宋_GB2312" w:hAnsi="仿宋_GB2312" w:eastAsia="仿宋_GB2312" w:cs="仿宋_GB2312"/>
                <w:kern w:val="0"/>
                <w:sz w:val="18"/>
                <w:szCs w:val="18"/>
                <w:lang w:eastAsia="zh-CN"/>
              </w:rPr>
              <w:t>比率</w:t>
            </w:r>
          </w:p>
        </w:tc>
        <w:tc>
          <w:tcPr>
            <w:tcW w:w="1380" w:type="dxa"/>
            <w:noWrap w:val="0"/>
            <w:vAlign w:val="center"/>
          </w:tcPr>
          <w:p>
            <w:pPr>
              <w:widowControl/>
              <w:overflowPunct w:val="0"/>
              <w:adjustRightInd w:val="0"/>
              <w:snapToGrid w:val="0"/>
              <w:jc w:val="center"/>
              <w:rPr>
                <w:rFonts w:hint="eastAsia" w:ascii="仿宋_GB2312" w:hAnsi="仿宋_GB2312" w:eastAsia="仿宋_GB2312" w:cs="仿宋_GB2312"/>
                <w:kern w:val="0"/>
                <w:sz w:val="18"/>
                <w:szCs w:val="18"/>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vMerge w:val="continue"/>
            <w:noWrap w:val="0"/>
            <w:vAlign w:val="center"/>
          </w:tcPr>
          <w:p>
            <w:pPr>
              <w:widowControl/>
              <w:overflowPunct w:val="0"/>
              <w:adjustRightInd w:val="0"/>
              <w:snapToGrid w:val="0"/>
              <w:jc w:val="center"/>
              <w:rPr>
                <w:rFonts w:eastAsia="仿宋_GB2312"/>
                <w:kern w:val="0"/>
                <w:sz w:val="18"/>
                <w:szCs w:val="18"/>
              </w:rPr>
            </w:pPr>
          </w:p>
        </w:tc>
        <w:tc>
          <w:tcPr>
            <w:tcW w:w="1520" w:type="dxa"/>
            <w:noWrap w:val="0"/>
            <w:vAlign w:val="center"/>
          </w:tcPr>
          <w:p>
            <w:pPr>
              <w:widowControl/>
              <w:overflowPunct w:val="0"/>
              <w:adjustRightInd w:val="0"/>
              <w:snapToGrid w:val="0"/>
              <w:jc w:val="center"/>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lang w:eastAsia="zh-CN"/>
              </w:rPr>
              <w:t>机关正常运转，人员工资福利发放。</w:t>
            </w:r>
          </w:p>
        </w:tc>
        <w:tc>
          <w:tcPr>
            <w:tcW w:w="1192" w:type="dxa"/>
            <w:noWrap w:val="0"/>
            <w:vAlign w:val="center"/>
          </w:tcPr>
          <w:p>
            <w:pPr>
              <w:widowControl/>
              <w:overflowPunct w:val="0"/>
              <w:adjustRightInd w:val="0"/>
              <w:snapToGrid w:val="0"/>
              <w:jc w:val="left"/>
              <w:rPr>
                <w:rFonts w:hint="eastAsia" w:ascii="仿宋_GB2312" w:hAnsi="仿宋_GB2312" w:eastAsia="仿宋_GB2312" w:cs="仿宋_GB2312"/>
                <w:kern w:val="0"/>
                <w:sz w:val="21"/>
                <w:szCs w:val="21"/>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widowControl/>
              <w:overflowPunct w:val="0"/>
              <w:adjustRightInd w:val="0"/>
              <w:snapToGrid w:val="0"/>
              <w:jc w:val="left"/>
              <w:rPr>
                <w:rFonts w:hint="eastAsia" w:ascii="仿宋_GB2312" w:hAnsi="仿宋_GB2312" w:eastAsia="仿宋_GB2312" w:cs="仿宋_GB2312"/>
                <w:kern w:val="0"/>
                <w:sz w:val="21"/>
                <w:szCs w:val="21"/>
                <w:lang w:eastAsia="zh-CN"/>
              </w:rPr>
            </w:pPr>
            <w:r>
              <w:rPr>
                <w:rFonts w:hint="eastAsia" w:ascii="仿宋_GB2312" w:hAnsi="仿宋_GB2312" w:eastAsia="仿宋_GB2312" w:cs="仿宋_GB2312"/>
                <w:kern w:val="0"/>
                <w:sz w:val="21"/>
                <w:szCs w:val="21"/>
                <w:lang w:eastAsia="zh-CN"/>
              </w:rPr>
              <w:t>保障率</w:t>
            </w:r>
          </w:p>
        </w:tc>
        <w:tc>
          <w:tcPr>
            <w:tcW w:w="537" w:type="dxa"/>
            <w:noWrap w:val="0"/>
            <w:vAlign w:val="center"/>
          </w:tcPr>
          <w:p>
            <w:pPr>
              <w:widowControl/>
              <w:overflowPunct w:val="0"/>
              <w:adjustRightInd w:val="0"/>
              <w:snapToGrid w:val="0"/>
              <w:jc w:val="center"/>
              <w:rPr>
                <w:rFonts w:hint="eastAsia" w:ascii="仿宋_GB2312" w:hAnsi="仿宋_GB2312" w:eastAsia="仿宋_GB2312" w:cs="仿宋_GB2312"/>
                <w:kern w:val="0"/>
                <w:sz w:val="18"/>
                <w:szCs w:val="18"/>
                <w:lang w:val="en-US" w:eastAsia="zh-CN"/>
              </w:rPr>
            </w:pPr>
            <w:r>
              <w:rPr>
                <w:rFonts w:hint="eastAsia" w:ascii="仿宋_GB2312" w:hAnsi="仿宋_GB2312" w:eastAsia="仿宋_GB2312" w:cs="仿宋_GB2312"/>
                <w:kern w:val="0"/>
                <w:sz w:val="18"/>
                <w:szCs w:val="18"/>
                <w:lang w:val="en-US" w:eastAsia="zh-CN"/>
              </w:rPr>
              <w:t>=</w:t>
            </w:r>
          </w:p>
        </w:tc>
        <w:tc>
          <w:tcPr>
            <w:tcW w:w="429" w:type="dxa"/>
            <w:noWrap w:val="0"/>
            <w:vAlign w:val="center"/>
          </w:tcPr>
          <w:p>
            <w:pPr>
              <w:widowControl/>
              <w:overflowPunct w:val="0"/>
              <w:adjustRightInd w:val="0"/>
              <w:snapToGrid w:val="0"/>
              <w:jc w:val="center"/>
              <w:rPr>
                <w:rFonts w:hint="eastAsia" w:ascii="仿宋_GB2312" w:hAnsi="仿宋_GB2312" w:eastAsia="仿宋_GB2312" w:cs="仿宋_GB2312"/>
                <w:kern w:val="0"/>
                <w:sz w:val="18"/>
                <w:szCs w:val="18"/>
                <w:lang w:val="en-US" w:eastAsia="zh-CN"/>
              </w:rPr>
            </w:pPr>
            <w:r>
              <w:rPr>
                <w:rFonts w:hint="eastAsia" w:ascii="仿宋_GB2312" w:hAnsi="仿宋_GB2312" w:eastAsia="仿宋_GB2312" w:cs="仿宋_GB2312"/>
                <w:kern w:val="0"/>
                <w:sz w:val="18"/>
                <w:szCs w:val="18"/>
                <w:lang w:val="en-US" w:eastAsia="zh-CN"/>
              </w:rPr>
              <w:t>100</w:t>
            </w:r>
          </w:p>
        </w:tc>
        <w:tc>
          <w:tcPr>
            <w:tcW w:w="443" w:type="dxa"/>
            <w:noWrap w:val="0"/>
            <w:vAlign w:val="center"/>
          </w:tcPr>
          <w:p>
            <w:pPr>
              <w:widowControl/>
              <w:overflowPunct w:val="0"/>
              <w:adjustRightInd w:val="0"/>
              <w:snapToGrid w:val="0"/>
              <w:jc w:val="center"/>
              <w:rPr>
                <w:rFonts w:hint="eastAsia" w:ascii="仿宋_GB2312" w:hAnsi="仿宋_GB2312" w:eastAsia="仿宋_GB2312" w:cs="仿宋_GB2312"/>
                <w:kern w:val="0"/>
                <w:sz w:val="18"/>
                <w:szCs w:val="18"/>
                <w:lang w:eastAsia="zh-CN"/>
              </w:rPr>
            </w:pPr>
            <w:r>
              <w:rPr>
                <w:rFonts w:hint="eastAsia" w:ascii="仿宋_GB2312" w:hAnsi="仿宋_GB2312" w:eastAsia="仿宋_GB2312" w:cs="仿宋_GB2312"/>
                <w:kern w:val="0"/>
                <w:sz w:val="18"/>
                <w:szCs w:val="18"/>
                <w:lang w:eastAsia="zh-CN"/>
              </w:rPr>
              <w:t>比率</w:t>
            </w:r>
          </w:p>
        </w:tc>
        <w:tc>
          <w:tcPr>
            <w:tcW w:w="1380" w:type="dxa"/>
            <w:noWrap w:val="0"/>
            <w:vAlign w:val="center"/>
          </w:tcPr>
          <w:p>
            <w:pPr>
              <w:widowControl/>
              <w:overflowPunct w:val="0"/>
              <w:adjustRightInd w:val="0"/>
              <w:snapToGrid w:val="0"/>
              <w:jc w:val="center"/>
              <w:rPr>
                <w:rFonts w:hint="eastAsia" w:ascii="仿宋_GB2312" w:hAnsi="仿宋_GB2312" w:eastAsia="仿宋_GB2312" w:cs="仿宋_GB2312"/>
                <w:kern w:val="0"/>
                <w:sz w:val="18"/>
                <w:szCs w:val="18"/>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noWrap w:val="0"/>
            <w:vAlign w:val="center"/>
          </w:tcPr>
          <w:p>
            <w:pPr>
              <w:ind w:firstLine="564" w:firstLineChars="0"/>
              <w:rPr>
                <w:rFonts w:hint="eastAsia" w:ascii="仿宋_GB2312" w:hAnsi="仿宋_GB2312" w:eastAsia="仿宋_GB2312" w:cs="仿宋_GB2312"/>
                <w:lang w:eastAsia="zh-CN"/>
              </w:rPr>
            </w:pPr>
            <w:r>
              <w:rPr>
                <w:rFonts w:hint="eastAsia" w:ascii="仿宋_GB2312" w:hAnsi="仿宋_GB2312" w:eastAsia="仿宋_GB2312" w:cs="仿宋_GB2312"/>
                <w:lang w:eastAsia="zh-CN"/>
              </w:rPr>
              <w:t>时效</w:t>
            </w:r>
          </w:p>
        </w:tc>
        <w:tc>
          <w:tcPr>
            <w:tcW w:w="1520"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完成年度任务及时性</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达到预期目标满分，未达到预期目标则酌情扣分。</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年底前完成各项工作</w:t>
            </w:r>
          </w:p>
        </w:tc>
        <w:tc>
          <w:tcPr>
            <w:tcW w:w="537" w:type="dxa"/>
            <w:noWrap w:val="0"/>
            <w:vAlign w:val="center"/>
          </w:tcPr>
          <w:p>
            <w:pPr>
              <w:jc w:val="center"/>
              <w:rPr>
                <w:rFonts w:hint="eastAsia" w:ascii="仿宋_GB2312" w:hAnsi="仿宋_GB2312" w:eastAsia="仿宋_GB2312" w:cs="仿宋_GB2312"/>
                <w:color w:val="000000"/>
                <w:kern w:val="0"/>
                <w:sz w:val="18"/>
                <w:szCs w:val="18"/>
                <w:lang w:val="en-US" w:eastAsia="zh-CN" w:bidi="ar-SA"/>
              </w:rPr>
            </w:pP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按时完成年度任务</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按时完成年度任务</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tc>
        <w:tc>
          <w:tcPr>
            <w:tcW w:w="1195" w:type="dxa"/>
            <w:noWrap w:val="0"/>
            <w:vAlign w:val="center"/>
          </w:tcPr>
          <w:p>
            <w:pPr>
              <w:widowControl/>
              <w:overflowPunct w:val="0"/>
              <w:adjustRightInd w:val="0"/>
              <w:snapToGrid w:val="0"/>
              <w:jc w:val="center"/>
              <w:rPr>
                <w:rFonts w:eastAsia="仿宋_GB2312"/>
                <w:kern w:val="0"/>
                <w:sz w:val="18"/>
                <w:szCs w:val="18"/>
              </w:rPr>
            </w:pPr>
            <w:r>
              <w:rPr>
                <w:rFonts w:eastAsia="仿宋_GB2312"/>
                <w:kern w:val="0"/>
                <w:sz w:val="18"/>
                <w:szCs w:val="18"/>
              </w:rPr>
              <w:t>成本</w:t>
            </w:r>
          </w:p>
        </w:tc>
        <w:tc>
          <w:tcPr>
            <w:tcW w:w="1520"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val="en-US" w:eastAsia="zh-CN" w:bidi="ar-SA"/>
              </w:rPr>
              <w:t>部门整体支出经费</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达到预期目标满分，未达到预期目标则酌情扣分。</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i w:val="0"/>
                <w:color w:val="000000"/>
                <w:kern w:val="0"/>
                <w:sz w:val="21"/>
                <w:szCs w:val="21"/>
                <w:u w:val="none"/>
                <w:lang w:val="en-US" w:eastAsia="zh-CN" w:bidi="ar"/>
              </w:rPr>
              <w:t>开支</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万</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元</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财政预算安排、工作计划、省委办冀办发【2015】24号文（每卷两元预算标准）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restart"/>
            <w:noWrap w:val="0"/>
            <w:vAlign w:val="center"/>
          </w:tcPr>
          <w:p>
            <w:pPr>
              <w:jc w:val="both"/>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eastAsia="zh-CN"/>
              </w:rPr>
              <w:t>部门效果</w:t>
            </w:r>
          </w:p>
        </w:tc>
        <w:tc>
          <w:tcPr>
            <w:tcW w:w="1195" w:type="dxa"/>
            <w:noWrap w:val="0"/>
            <w:vAlign w:val="center"/>
          </w:tcPr>
          <w:p>
            <w:pPr>
              <w:widowControl/>
              <w:overflowPunct w:val="0"/>
              <w:adjustRightInd w:val="0"/>
              <w:snapToGrid w:val="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社会效益</w:t>
            </w:r>
          </w:p>
        </w:tc>
        <w:tc>
          <w:tcPr>
            <w:tcW w:w="1520" w:type="dxa"/>
            <w:noWrap w:val="0"/>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2"/>
                <w:sz w:val="21"/>
                <w:szCs w:val="21"/>
                <w:u w:val="none"/>
                <w:lang w:val="en-US" w:eastAsia="zh-CN" w:bidi="ar-SA"/>
              </w:rPr>
            </w:pPr>
            <w:r>
              <w:rPr>
                <w:rFonts w:hint="eastAsia" w:ascii="仿宋_GB2312" w:hAnsi="仿宋_GB2312" w:eastAsia="仿宋_GB2312" w:cs="仿宋_GB2312"/>
                <w:i w:val="0"/>
                <w:color w:val="000000"/>
                <w:kern w:val="0"/>
                <w:sz w:val="21"/>
                <w:szCs w:val="21"/>
                <w:u w:val="none"/>
                <w:lang w:val="en-US" w:eastAsia="zh-CN" w:bidi="ar"/>
              </w:rPr>
              <w:t>为全社会提供档案利用服务</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kern w:val="2"/>
                <w:sz w:val="21"/>
                <w:szCs w:val="21"/>
                <w:u w:val="none"/>
                <w:lang w:val="en-US" w:eastAsia="zh-CN" w:bidi="ar-SA"/>
              </w:rPr>
            </w:pPr>
            <w:r>
              <w:rPr>
                <w:rFonts w:hint="eastAsia" w:ascii="仿宋_GB2312" w:hAnsi="仿宋_GB2312" w:eastAsia="仿宋_GB2312" w:cs="仿宋_GB2312"/>
                <w:i w:val="0"/>
                <w:color w:val="000000"/>
                <w:kern w:val="0"/>
                <w:sz w:val="21"/>
                <w:szCs w:val="21"/>
                <w:u w:val="none"/>
                <w:lang w:val="en-US" w:eastAsia="zh-CN" w:bidi="ar"/>
              </w:rPr>
              <w:t>全年接待查档人次</w:t>
            </w:r>
          </w:p>
        </w:tc>
        <w:tc>
          <w:tcPr>
            <w:tcW w:w="537"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600</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人次</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978" w:type="dxa"/>
            <w:vMerge w:val="continue"/>
            <w:noWrap w:val="0"/>
            <w:vAlign w:val="center"/>
          </w:tcPr>
          <w:p>
            <w:pPr>
              <w:rPr>
                <w:rFonts w:hint="eastAsia" w:ascii="仿宋_GB2312" w:hAnsi="仿宋_GB2312" w:eastAsia="仿宋_GB2312" w:cs="仿宋_GB2312"/>
                <w:sz w:val="21"/>
                <w:szCs w:val="21"/>
              </w:rPr>
            </w:pPr>
          </w:p>
        </w:tc>
        <w:tc>
          <w:tcPr>
            <w:tcW w:w="1195" w:type="dxa"/>
            <w:noWrap w:val="0"/>
            <w:vAlign w:val="center"/>
          </w:tcPr>
          <w:p>
            <w:pPr>
              <w:widowControl/>
              <w:overflowPunct w:val="0"/>
              <w:adjustRightInd w:val="0"/>
              <w:snapToGrid w:val="0"/>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满意度</w:t>
            </w:r>
          </w:p>
        </w:tc>
        <w:tc>
          <w:tcPr>
            <w:tcW w:w="1520" w:type="dxa"/>
            <w:noWrap w:val="0"/>
            <w:vAlign w:val="top"/>
          </w:tcPr>
          <w:p>
            <w:pPr>
              <w:keepNext w:val="0"/>
              <w:keepLines w:val="0"/>
              <w:widowControl/>
              <w:suppressLineNumbers w:val="0"/>
              <w:jc w:val="left"/>
              <w:textAlignment w:val="top"/>
              <w:rPr>
                <w:rFonts w:hint="eastAsia" w:ascii="仿宋_GB2312" w:hAnsi="仿宋_GB2312" w:eastAsia="仿宋_GB2312" w:cs="仿宋_GB2312"/>
                <w:i w:val="0"/>
                <w:color w:val="000000"/>
                <w:kern w:val="2"/>
                <w:sz w:val="21"/>
                <w:szCs w:val="21"/>
                <w:u w:val="none"/>
                <w:lang w:val="en-US" w:eastAsia="zh-CN" w:bidi="ar-SA"/>
              </w:rPr>
            </w:pPr>
            <w:r>
              <w:rPr>
                <w:rFonts w:hint="eastAsia" w:ascii="仿宋_GB2312" w:hAnsi="仿宋_GB2312" w:eastAsia="仿宋_GB2312" w:cs="仿宋_GB2312"/>
                <w:i w:val="0"/>
                <w:color w:val="000000"/>
                <w:kern w:val="0"/>
                <w:sz w:val="21"/>
                <w:szCs w:val="21"/>
                <w:u w:val="none"/>
                <w:lang w:val="en-US" w:eastAsia="zh-CN" w:bidi="ar"/>
              </w:rPr>
              <w:t>服务对象满意度</w:t>
            </w:r>
          </w:p>
        </w:tc>
        <w:tc>
          <w:tcPr>
            <w:tcW w:w="1192" w:type="dxa"/>
            <w:noWrap w:val="0"/>
            <w:vAlign w:val="center"/>
          </w:tcPr>
          <w:p>
            <w:pPr>
              <w:widowControl/>
              <w:overflowPunct w:val="0"/>
              <w:adjustRightInd w:val="0"/>
              <w:snapToGrid w:val="0"/>
              <w:jc w:val="center"/>
              <w:rPr>
                <w:rFonts w:hint="eastAsia" w:ascii="仿宋_GB2312" w:hAnsi="仿宋_GB2312" w:eastAsia="仿宋_GB2312" w:cs="仿宋_GB2312"/>
                <w:color w:val="000000"/>
                <w:kern w:val="0"/>
                <w:sz w:val="21"/>
                <w:szCs w:val="21"/>
                <w:lang w:val="en-US" w:eastAsia="zh-CN" w:bidi="ar-SA"/>
              </w:rPr>
            </w:pPr>
            <w:r>
              <w:rPr>
                <w:rFonts w:hint="eastAsia" w:ascii="仿宋_GB2312" w:hAnsi="仿宋_GB2312" w:eastAsia="仿宋_GB2312" w:cs="仿宋_GB2312"/>
                <w:color w:val="000000"/>
                <w:kern w:val="0"/>
                <w:sz w:val="21"/>
                <w:szCs w:val="21"/>
                <w:lang w:eastAsia="zh-CN"/>
              </w:rPr>
              <w:t>达到预期目标满分，未达到预期目标则按完成比例的相应权重得分。</w:t>
            </w:r>
          </w:p>
        </w:tc>
        <w:tc>
          <w:tcPr>
            <w:tcW w:w="1192" w:type="dxa"/>
            <w:noWrap w:val="0"/>
            <w:vAlign w:val="top"/>
          </w:tcPr>
          <w:p>
            <w:pPr>
              <w:keepNext w:val="0"/>
              <w:keepLines w:val="0"/>
              <w:widowControl/>
              <w:suppressLineNumbers w:val="0"/>
              <w:jc w:val="left"/>
              <w:textAlignment w:val="top"/>
              <w:rPr>
                <w:rFonts w:hint="eastAsia" w:ascii="仿宋_GB2312" w:hAnsi="仿宋_GB2312" w:eastAsia="仿宋_GB2312" w:cs="仿宋_GB2312"/>
                <w:i w:val="0"/>
                <w:color w:val="000000"/>
                <w:kern w:val="2"/>
                <w:sz w:val="21"/>
                <w:szCs w:val="21"/>
                <w:u w:val="none"/>
                <w:lang w:val="en-US" w:eastAsia="zh-CN" w:bidi="ar-SA"/>
              </w:rPr>
            </w:pPr>
            <w:r>
              <w:rPr>
                <w:rFonts w:hint="eastAsia" w:ascii="仿宋_GB2312" w:hAnsi="仿宋_GB2312" w:eastAsia="仿宋_GB2312" w:cs="仿宋_GB2312"/>
                <w:i w:val="0"/>
                <w:color w:val="000000"/>
                <w:kern w:val="0"/>
                <w:sz w:val="21"/>
                <w:szCs w:val="21"/>
                <w:u w:val="none"/>
                <w:lang w:val="en-US" w:eastAsia="zh-CN" w:bidi="ar"/>
              </w:rPr>
              <w:t>社会满意度调查</w:t>
            </w:r>
          </w:p>
        </w:tc>
        <w:tc>
          <w:tcPr>
            <w:tcW w:w="537" w:type="dxa"/>
            <w:noWrap w:val="0"/>
            <w:vAlign w:val="top"/>
          </w:tcPr>
          <w:p>
            <w:pPr>
              <w:keepNext w:val="0"/>
              <w:keepLines w:val="0"/>
              <w:widowControl/>
              <w:suppressLineNumbers w:val="0"/>
              <w:jc w:val="center"/>
              <w:textAlignment w:val="top"/>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w:t>
            </w:r>
          </w:p>
        </w:tc>
        <w:tc>
          <w:tcPr>
            <w:tcW w:w="429"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95</w:t>
            </w:r>
          </w:p>
        </w:tc>
        <w:tc>
          <w:tcPr>
            <w:tcW w:w="443"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比率</w:t>
            </w:r>
          </w:p>
        </w:tc>
        <w:tc>
          <w:tcPr>
            <w:tcW w:w="1380" w:type="dxa"/>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18"/>
                <w:szCs w:val="18"/>
                <w:lang w:val="en-US" w:eastAsia="zh-CN" w:bidi="ar-SA"/>
              </w:rPr>
            </w:pPr>
            <w:r>
              <w:rPr>
                <w:rFonts w:hint="eastAsia" w:ascii="仿宋_GB2312" w:hAnsi="仿宋_GB2312" w:eastAsia="仿宋_GB2312" w:cs="仿宋_GB2312"/>
                <w:i w:val="0"/>
                <w:color w:val="000000"/>
                <w:kern w:val="0"/>
                <w:sz w:val="18"/>
                <w:szCs w:val="18"/>
                <w:u w:val="none"/>
                <w:lang w:val="en-US" w:eastAsia="zh-CN" w:bidi="ar"/>
              </w:rPr>
              <w:t>年度工作计划</w:t>
            </w:r>
          </w:p>
        </w:tc>
      </w:tr>
    </w:tbl>
    <w:p>
      <w:pPr>
        <w:spacing w:line="584" w:lineRule="exact"/>
        <w:ind w:firstLine="640" w:firstLineChars="200"/>
        <w:rPr>
          <w:rFonts w:ascii="Times New Roman" w:hAnsi="黑体" w:eastAsia="黑体" w:cs="Times New Roman"/>
          <w:sz w:val="32"/>
          <w:szCs w:val="32"/>
        </w:rPr>
      </w:pPr>
      <w:r>
        <w:rPr>
          <w:rFonts w:hint="eastAsia" w:ascii="Times New Roman" w:hAnsi="黑体" w:eastAsia="黑体" w:cs="Times New Roman"/>
          <w:sz w:val="32"/>
          <w:szCs w:val="32"/>
        </w:rPr>
        <w:t>第二部分资金绩效目标</w:t>
      </w:r>
    </w:p>
    <w:p>
      <w:pPr>
        <w:ind w:firstLine="560" w:firstLineChars="200"/>
        <w:jc w:val="left"/>
        <w:outlineLvl w:val="1"/>
        <w:rPr>
          <w:rFonts w:ascii="Times New Roman" w:hAnsi="Times New Roman" w:eastAsia="仿宋_GB2312" w:cs="Times New Roman"/>
          <w:sz w:val="28"/>
        </w:rPr>
      </w:pPr>
      <w:r>
        <w:rPr>
          <w:rFonts w:ascii="Times New Roman" w:hAnsi="Times New Roman" w:eastAsia="仿宋_GB2312" w:cs="Times New Roman"/>
          <w:sz w:val="28"/>
        </w:rPr>
        <w:t>1.</w:t>
      </w:r>
      <w:r>
        <w:rPr>
          <w:rFonts w:hint="eastAsia" w:ascii="仿宋_GB2312" w:hAnsi="仿宋_GB2312" w:eastAsia="仿宋_GB2312" w:cs="仿宋_GB2312"/>
          <w:color w:val="000000"/>
          <w:sz w:val="32"/>
          <w:szCs w:val="32"/>
        </w:rPr>
        <w:t>档案馆日常整理经费</w:t>
      </w:r>
      <w:r>
        <w:rPr>
          <w:rFonts w:hint="eastAsia" w:ascii="仿宋_GB2312" w:hAnsi="仿宋_GB2312" w:eastAsia="仿宋_GB2312" w:cs="仿宋_GB2312"/>
          <w:color w:val="000000"/>
          <w:sz w:val="32"/>
          <w:szCs w:val="32"/>
          <w:lang w:eastAsia="zh-CN"/>
        </w:rPr>
        <w:t>项目</w:t>
      </w:r>
      <w:r>
        <w:rPr>
          <w:rFonts w:ascii="Times New Roman" w:hAnsi="Times New Roman" w:eastAsia="仿宋_GB2312" w:cs="Times New Roman"/>
          <w:sz w:val="28"/>
        </w:rPr>
        <w:t>绩效目标表</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widowControl/>
              <w:overflowPunct w:val="0"/>
              <w:adjustRightInd w:val="0"/>
              <w:snapToGrid w:val="0"/>
              <w:jc w:val="center"/>
              <w:rPr>
                <w:rFonts w:ascii="Times New Roman" w:hAnsi="Times New Roman" w:eastAsia="仿宋_GB2312" w:cs="Times New Roman"/>
                <w:color w:val="000000"/>
                <w:kern w:val="0"/>
                <w:sz w:val="24"/>
                <w:szCs w:val="22"/>
                <w:lang w:val="en-US" w:eastAsia="zh-CN" w:bidi="ar-SA"/>
              </w:rPr>
            </w:pPr>
            <w:r>
              <w:rPr>
                <w:rFonts w:eastAsia="仿宋_GB2312"/>
                <w:color w:val="000000"/>
                <w:kern w:val="0"/>
                <w:sz w:val="24"/>
              </w:rPr>
              <w:t>数量</w:t>
            </w:r>
          </w:p>
        </w:tc>
        <w:tc>
          <w:tcPr>
            <w:tcW w:w="1985" w:type="dxa"/>
            <w:shd w:val="clear" w:color="auto" w:fill="auto"/>
            <w:vAlign w:val="center"/>
          </w:tcPr>
          <w:p>
            <w:pPr>
              <w:keepNext w:val="0"/>
              <w:keepLines w:val="0"/>
              <w:widowControl/>
              <w:suppressLineNumbers w:val="0"/>
              <w:jc w:val="center"/>
              <w:textAlignment w:val="center"/>
              <w:rPr>
                <w:rFonts w:eastAsia="仿宋_GB2312" w:asciiTheme="minorHAnsi" w:hAnsiTheme="minorHAnsi" w:cstheme="minorBidi"/>
                <w:b w:val="0"/>
                <w:bCs/>
                <w:color w:val="000000"/>
                <w:kern w:val="0"/>
                <w:sz w:val="24"/>
                <w:szCs w:val="22"/>
                <w:lang w:val="en-US" w:eastAsia="zh-CN" w:bidi="ar-SA"/>
              </w:rPr>
            </w:pPr>
            <w:r>
              <w:rPr>
                <w:rFonts w:hint="eastAsia" w:ascii="宋体" w:hAnsi="宋体" w:eastAsia="宋体" w:cs="宋体"/>
                <w:b w:val="0"/>
                <w:bCs/>
                <w:i w:val="0"/>
                <w:color w:val="000000"/>
                <w:kern w:val="0"/>
                <w:sz w:val="18"/>
                <w:szCs w:val="18"/>
                <w:u w:val="none"/>
                <w:lang w:val="en-US" w:eastAsia="zh-CN" w:bidi="ar"/>
              </w:rPr>
              <w:t>馆藏档案安全保管</w:t>
            </w:r>
          </w:p>
        </w:tc>
        <w:tc>
          <w:tcPr>
            <w:tcW w:w="34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档案完整、安全</w:t>
            </w:r>
          </w:p>
        </w:tc>
        <w:tc>
          <w:tcPr>
            <w:tcW w:w="1843" w:type="dxa"/>
            <w:shd w:val="clear" w:color="auto" w:fill="auto"/>
            <w:vAlign w:val="center"/>
          </w:tcPr>
          <w:p>
            <w:pPr>
              <w:spacing w:line="300" w:lineRule="exact"/>
              <w:jc w:val="left"/>
              <w:rPr>
                <w:rFonts w:hint="default" w:ascii="Times New Roman" w:hAnsi="Times New Roman" w:eastAsia="仿宋_GB2312" w:cs="Times New Roman"/>
                <w:lang w:val="en-US" w:eastAsia="zh-CN"/>
              </w:rPr>
            </w:pPr>
            <w:r>
              <w:rPr>
                <w:rFonts w:hint="eastAsia" w:ascii="Times New Roman" w:hAnsi="Times New Roman" w:eastAsia="仿宋_GB2312" w:cs="Times New Roman"/>
                <w:lang w:val="en-US" w:eastAsia="zh-CN"/>
              </w:rPr>
              <w:t>10.75万卷</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ascii="Times New Roman" w:hAnsi="Times New Roman" w:eastAsia="仿宋_GB2312" w:cs="Times New Roman"/>
                <w:color w:val="000000"/>
                <w:kern w:val="0"/>
                <w:sz w:val="24"/>
                <w:szCs w:val="22"/>
                <w:lang w:val="en-US" w:eastAsia="zh-CN" w:bidi="ar-SA"/>
              </w:rPr>
            </w:pPr>
            <w:r>
              <w:rPr>
                <w:rFonts w:eastAsia="仿宋_GB2312"/>
                <w:color w:val="000000"/>
                <w:kern w:val="0"/>
                <w:sz w:val="24"/>
              </w:rPr>
              <w:t>数量</w:t>
            </w:r>
          </w:p>
        </w:tc>
        <w:tc>
          <w:tcPr>
            <w:tcW w:w="1985" w:type="dxa"/>
            <w:shd w:val="clear" w:color="auto" w:fill="auto"/>
            <w:vAlign w:val="center"/>
          </w:tcPr>
          <w:p>
            <w:pPr>
              <w:keepNext w:val="0"/>
              <w:keepLines w:val="0"/>
              <w:widowControl/>
              <w:suppressLineNumbers w:val="0"/>
              <w:jc w:val="center"/>
              <w:textAlignment w:val="center"/>
              <w:rPr>
                <w:rFonts w:eastAsia="仿宋_GB2312" w:asciiTheme="minorHAnsi" w:hAnsiTheme="minorHAnsi" w:cstheme="minorBidi"/>
                <w:b w:val="0"/>
                <w:bCs/>
                <w:color w:val="000000"/>
                <w:kern w:val="0"/>
                <w:sz w:val="24"/>
                <w:szCs w:val="22"/>
                <w:lang w:val="en-US" w:eastAsia="zh-CN" w:bidi="ar-SA"/>
              </w:rPr>
            </w:pPr>
            <w:r>
              <w:rPr>
                <w:rFonts w:hint="eastAsia" w:ascii="宋体" w:hAnsi="宋体" w:eastAsia="宋体" w:cs="宋体"/>
                <w:b w:val="0"/>
                <w:bCs/>
                <w:i w:val="0"/>
                <w:color w:val="000000"/>
                <w:kern w:val="0"/>
                <w:sz w:val="18"/>
                <w:szCs w:val="18"/>
                <w:u w:val="none"/>
                <w:lang w:val="en-US" w:eastAsia="zh-CN" w:bidi="ar"/>
              </w:rPr>
              <w:t>接收征集档案</w:t>
            </w:r>
          </w:p>
        </w:tc>
        <w:tc>
          <w:tcPr>
            <w:tcW w:w="3402" w:type="dxa"/>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kern w:val="2"/>
                <w:sz w:val="18"/>
                <w:szCs w:val="18"/>
                <w:u w:val="none"/>
                <w:lang w:val="en-US" w:eastAsia="zh-CN" w:bidi="ar-SA"/>
              </w:rPr>
            </w:pPr>
            <w:r>
              <w:rPr>
                <w:rFonts w:hint="eastAsia" w:ascii="宋体" w:hAnsi="宋体" w:eastAsia="宋体" w:cs="宋体"/>
                <w:b w:val="0"/>
                <w:bCs/>
                <w:i w:val="0"/>
                <w:color w:val="000000"/>
                <w:kern w:val="0"/>
                <w:sz w:val="18"/>
                <w:szCs w:val="18"/>
                <w:u w:val="none"/>
                <w:lang w:val="en-US" w:eastAsia="zh-CN" w:bidi="ar"/>
              </w:rPr>
              <w:t>接收进馆规范档案</w:t>
            </w:r>
          </w:p>
        </w:tc>
        <w:tc>
          <w:tcPr>
            <w:tcW w:w="1843" w:type="dxa"/>
            <w:shd w:val="clear" w:color="auto" w:fill="auto"/>
            <w:vAlign w:val="center"/>
          </w:tcPr>
          <w:p>
            <w:pPr>
              <w:spacing w:line="300" w:lineRule="exact"/>
              <w:jc w:val="left"/>
              <w:rPr>
                <w:rFonts w:hint="default" w:ascii="Times New Roman" w:hAnsi="Times New Roman" w:eastAsia="仿宋_GB2312" w:cs="Times New Roman"/>
                <w:lang w:val="en-US"/>
              </w:rPr>
            </w:pPr>
            <w:r>
              <w:rPr>
                <w:rFonts w:hint="eastAsia" w:ascii="仿宋_GB2312" w:hAnsi="仿宋_GB2312" w:eastAsia="仿宋_GB2312" w:cs="仿宋_GB2312"/>
                <w:i w:val="0"/>
                <w:color w:val="000000"/>
                <w:kern w:val="0"/>
                <w:sz w:val="18"/>
                <w:szCs w:val="18"/>
                <w:u w:val="none"/>
                <w:lang w:val="en-US" w:eastAsia="zh-CN" w:bidi="ar"/>
              </w:rPr>
              <w:t>≥1万件</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ascii="Times New Roman" w:hAnsi="Times New Roman" w:eastAsia="仿宋_GB2312" w:cs="Times New Roman"/>
                <w:color w:val="000000"/>
                <w:kern w:val="0"/>
                <w:sz w:val="24"/>
                <w:szCs w:val="22"/>
                <w:lang w:val="en-US" w:eastAsia="zh-CN" w:bidi="ar-SA"/>
              </w:rPr>
            </w:pPr>
            <w:r>
              <w:rPr>
                <w:rFonts w:eastAsia="仿宋_GB2312"/>
                <w:color w:val="000000"/>
                <w:kern w:val="0"/>
                <w:sz w:val="24"/>
              </w:rPr>
              <w:t>数量</w:t>
            </w:r>
          </w:p>
        </w:tc>
        <w:tc>
          <w:tcPr>
            <w:tcW w:w="1985" w:type="dxa"/>
            <w:shd w:val="clear" w:color="auto" w:fill="auto"/>
            <w:vAlign w:val="center"/>
          </w:tcPr>
          <w:p>
            <w:pPr>
              <w:keepNext w:val="0"/>
              <w:keepLines w:val="0"/>
              <w:widowControl/>
              <w:suppressLineNumbers w:val="0"/>
              <w:jc w:val="center"/>
              <w:textAlignment w:val="center"/>
              <w:rPr>
                <w:rFonts w:eastAsia="仿宋_GB2312" w:asciiTheme="minorHAnsi" w:hAnsiTheme="minorHAnsi" w:cstheme="minorBidi"/>
                <w:b w:val="0"/>
                <w:bCs/>
                <w:color w:val="000000"/>
                <w:kern w:val="0"/>
                <w:sz w:val="24"/>
                <w:szCs w:val="22"/>
                <w:lang w:val="en-US" w:eastAsia="zh-CN" w:bidi="ar-SA"/>
              </w:rPr>
            </w:pPr>
            <w:r>
              <w:rPr>
                <w:rFonts w:hint="eastAsia" w:ascii="宋体" w:hAnsi="宋体" w:eastAsia="宋体" w:cs="宋体"/>
                <w:b w:val="0"/>
                <w:bCs/>
                <w:i w:val="0"/>
                <w:color w:val="000000"/>
                <w:kern w:val="0"/>
                <w:sz w:val="18"/>
                <w:szCs w:val="18"/>
                <w:u w:val="none"/>
                <w:lang w:val="en-US" w:eastAsia="zh-CN" w:bidi="ar"/>
              </w:rPr>
              <w:t>档案整理</w:t>
            </w:r>
          </w:p>
        </w:tc>
        <w:tc>
          <w:tcPr>
            <w:tcW w:w="3402" w:type="dxa"/>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kern w:val="2"/>
                <w:sz w:val="18"/>
                <w:szCs w:val="18"/>
                <w:u w:val="none"/>
                <w:lang w:val="en-US" w:eastAsia="zh-CN" w:bidi="ar-SA"/>
              </w:rPr>
            </w:pPr>
            <w:r>
              <w:rPr>
                <w:rFonts w:hint="eastAsia" w:ascii="宋体" w:hAnsi="宋体" w:cs="宋体"/>
                <w:b w:val="0"/>
                <w:bCs/>
                <w:i w:val="0"/>
                <w:color w:val="000000"/>
                <w:kern w:val="0"/>
                <w:sz w:val="18"/>
                <w:szCs w:val="18"/>
                <w:u w:val="none"/>
                <w:lang w:val="en-US" w:eastAsia="zh-CN" w:bidi="ar"/>
              </w:rPr>
              <w:t>保护性</w:t>
            </w:r>
            <w:r>
              <w:rPr>
                <w:rFonts w:hint="eastAsia" w:ascii="宋体" w:hAnsi="宋体" w:eastAsia="宋体" w:cs="宋体"/>
                <w:b w:val="0"/>
                <w:bCs/>
                <w:i w:val="0"/>
                <w:color w:val="000000"/>
                <w:kern w:val="0"/>
                <w:sz w:val="18"/>
                <w:szCs w:val="18"/>
                <w:u w:val="none"/>
                <w:lang w:val="en-US" w:eastAsia="zh-CN" w:bidi="ar"/>
              </w:rPr>
              <w:t>整理馆藏档案</w:t>
            </w:r>
          </w:p>
        </w:tc>
        <w:tc>
          <w:tcPr>
            <w:tcW w:w="1843" w:type="dxa"/>
            <w:shd w:val="clear" w:color="auto" w:fill="auto"/>
            <w:vAlign w:val="center"/>
          </w:tcPr>
          <w:p>
            <w:pPr>
              <w:spacing w:line="300" w:lineRule="exact"/>
              <w:jc w:val="left"/>
              <w:rPr>
                <w:rFonts w:hint="default" w:ascii="Times New Roman" w:hAnsi="Times New Roman" w:eastAsia="仿宋_GB2312" w:cs="Times New Roman"/>
                <w:lang w:val="en-US"/>
              </w:rPr>
            </w:pPr>
            <w:r>
              <w:rPr>
                <w:rFonts w:hint="eastAsia" w:ascii="仿宋_GB2312" w:hAnsi="仿宋_GB2312" w:eastAsia="仿宋_GB2312" w:cs="仿宋_GB2312"/>
                <w:i w:val="0"/>
                <w:color w:val="000000"/>
                <w:kern w:val="0"/>
                <w:sz w:val="18"/>
                <w:szCs w:val="18"/>
                <w:u w:val="none"/>
                <w:lang w:val="en-US" w:eastAsia="zh-CN" w:bidi="ar"/>
              </w:rPr>
              <w:t>≥3000卷</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ascii="Times New Roman" w:hAnsi="Times New Roman" w:eastAsia="仿宋_GB2312" w:cs="Times New Roman"/>
                <w:color w:val="000000"/>
                <w:kern w:val="0"/>
                <w:sz w:val="24"/>
                <w:szCs w:val="22"/>
                <w:lang w:val="en-US" w:eastAsia="zh-CN" w:bidi="ar-SA"/>
              </w:rPr>
            </w:pPr>
            <w:r>
              <w:rPr>
                <w:rFonts w:eastAsia="仿宋_GB2312"/>
                <w:color w:val="000000"/>
                <w:kern w:val="0"/>
                <w:sz w:val="24"/>
              </w:rPr>
              <w:t>数量</w:t>
            </w:r>
          </w:p>
        </w:tc>
        <w:tc>
          <w:tcPr>
            <w:tcW w:w="1985" w:type="dxa"/>
            <w:shd w:val="clear" w:color="auto" w:fill="auto"/>
            <w:vAlign w:val="center"/>
          </w:tcPr>
          <w:p>
            <w:pPr>
              <w:keepNext w:val="0"/>
              <w:keepLines w:val="0"/>
              <w:widowControl/>
              <w:suppressLineNumbers w:val="0"/>
              <w:jc w:val="center"/>
              <w:textAlignment w:val="center"/>
              <w:rPr>
                <w:rFonts w:eastAsia="仿宋_GB2312" w:asciiTheme="minorHAnsi" w:hAnsiTheme="minorHAnsi" w:cstheme="minorBidi"/>
                <w:b w:val="0"/>
                <w:bCs/>
                <w:color w:val="000000"/>
                <w:kern w:val="0"/>
                <w:sz w:val="24"/>
                <w:szCs w:val="22"/>
                <w:lang w:val="en-US" w:eastAsia="zh-CN" w:bidi="ar-SA"/>
              </w:rPr>
            </w:pPr>
            <w:r>
              <w:rPr>
                <w:rFonts w:hint="eastAsia" w:ascii="宋体" w:hAnsi="宋体" w:eastAsia="宋体" w:cs="宋体"/>
                <w:b w:val="0"/>
                <w:bCs/>
                <w:i w:val="0"/>
                <w:color w:val="000000"/>
                <w:kern w:val="0"/>
                <w:sz w:val="18"/>
                <w:szCs w:val="18"/>
                <w:u w:val="none"/>
                <w:lang w:val="en-US" w:eastAsia="zh-CN" w:bidi="ar"/>
              </w:rPr>
              <w:t>档案信息化建设</w:t>
            </w:r>
          </w:p>
        </w:tc>
        <w:tc>
          <w:tcPr>
            <w:tcW w:w="3402" w:type="dxa"/>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kern w:val="2"/>
                <w:sz w:val="18"/>
                <w:szCs w:val="18"/>
                <w:u w:val="none"/>
                <w:lang w:val="en-US" w:eastAsia="zh-CN" w:bidi="ar-SA"/>
              </w:rPr>
            </w:pPr>
            <w:r>
              <w:rPr>
                <w:rFonts w:hint="eastAsia" w:ascii="宋体" w:hAnsi="宋体" w:cs="宋体"/>
                <w:b w:val="0"/>
                <w:bCs/>
                <w:i w:val="0"/>
                <w:color w:val="000000"/>
                <w:kern w:val="0"/>
                <w:sz w:val="18"/>
                <w:szCs w:val="18"/>
                <w:u w:val="none"/>
                <w:lang w:val="en-US" w:eastAsia="zh-CN" w:bidi="ar"/>
              </w:rPr>
              <w:t>数字化档案数据</w:t>
            </w:r>
            <w:r>
              <w:rPr>
                <w:rFonts w:hint="eastAsia" w:ascii="宋体" w:hAnsi="宋体" w:eastAsia="宋体" w:cs="宋体"/>
                <w:b w:val="0"/>
                <w:bCs/>
                <w:i w:val="0"/>
                <w:color w:val="000000"/>
                <w:kern w:val="0"/>
                <w:sz w:val="18"/>
                <w:szCs w:val="18"/>
                <w:u w:val="none"/>
                <w:lang w:val="en-US" w:eastAsia="zh-CN" w:bidi="ar"/>
              </w:rPr>
              <w:t>挂接转换到大数据库</w:t>
            </w:r>
            <w:r>
              <w:rPr>
                <w:rFonts w:hint="eastAsia" w:ascii="宋体" w:hAnsi="宋体" w:cs="宋体"/>
                <w:b w:val="0"/>
                <w:bCs/>
                <w:i w:val="0"/>
                <w:color w:val="000000"/>
                <w:kern w:val="0"/>
                <w:sz w:val="18"/>
                <w:szCs w:val="18"/>
                <w:u w:val="none"/>
                <w:lang w:val="en-US" w:eastAsia="zh-CN" w:bidi="ar"/>
              </w:rPr>
              <w:t>完成率</w:t>
            </w:r>
          </w:p>
        </w:tc>
        <w:tc>
          <w:tcPr>
            <w:tcW w:w="1843" w:type="dxa"/>
            <w:shd w:val="clear" w:color="auto" w:fill="auto"/>
            <w:vAlign w:val="center"/>
          </w:tcPr>
          <w:p>
            <w:pPr>
              <w:spacing w:line="300" w:lineRule="exact"/>
              <w:jc w:val="left"/>
              <w:rPr>
                <w:rFonts w:hint="default" w:ascii="Times New Roman" w:hAnsi="Times New Roman" w:eastAsia="仿宋_GB2312" w:cs="Times New Roman"/>
                <w:lang w:val="en-US" w:eastAsia="zh-CN"/>
              </w:rPr>
            </w:pPr>
            <w:r>
              <w:rPr>
                <w:rFonts w:hint="eastAsia" w:ascii="Times New Roman" w:hAnsi="Times New Roman" w:eastAsia="仿宋_GB2312" w:cs="Times New Roman"/>
                <w:lang w:val="en-US" w:eastAsia="zh-CN"/>
              </w:rPr>
              <w:t>100%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eastAsia="仿宋_GB2312" w:asciiTheme="minorHAnsi" w:hAnsiTheme="minorHAnsi" w:cstheme="minorBidi"/>
                <w:color w:val="000000"/>
                <w:kern w:val="0"/>
                <w:sz w:val="24"/>
                <w:szCs w:val="22"/>
                <w:lang w:val="en-US" w:eastAsia="zh-CN" w:bidi="ar-SA"/>
              </w:rPr>
            </w:pPr>
            <w:r>
              <w:rPr>
                <w:rFonts w:eastAsia="仿宋_GB2312"/>
                <w:color w:val="000000"/>
                <w:kern w:val="0"/>
                <w:sz w:val="24"/>
              </w:rPr>
              <w:t>数量</w:t>
            </w:r>
          </w:p>
        </w:tc>
        <w:tc>
          <w:tcPr>
            <w:tcW w:w="1985"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开发档案资源</w:t>
            </w:r>
          </w:p>
        </w:tc>
        <w:tc>
          <w:tcPr>
            <w:tcW w:w="3402"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完成</w:t>
            </w:r>
            <w:r>
              <w:rPr>
                <w:rFonts w:hint="eastAsia" w:ascii="宋体" w:hAnsi="宋体" w:eastAsia="宋体" w:cs="宋体"/>
                <w:color w:val="000000"/>
                <w:kern w:val="0"/>
                <w:sz w:val="18"/>
                <w:szCs w:val="18"/>
                <w:lang w:val="en-US" w:eastAsia="zh-CN"/>
              </w:rPr>
              <w:t>《永清县档案局（馆）基础数字汇编》续编</w:t>
            </w:r>
            <w:r>
              <w:rPr>
                <w:rFonts w:hint="eastAsia" w:ascii="宋体" w:hAnsi="宋体" w:eastAsia="宋体" w:cs="宋体"/>
                <w:i w:val="0"/>
                <w:color w:val="000000"/>
                <w:kern w:val="0"/>
                <w:sz w:val="18"/>
                <w:szCs w:val="18"/>
                <w:u w:val="none"/>
                <w:lang w:val="en-US" w:eastAsia="zh-CN" w:bidi="ar"/>
              </w:rPr>
              <w:t>工作</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lang w:val="en-US" w:eastAsia="zh-CN"/>
              </w:rPr>
              <w:t>100%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eastAsia="仿宋_GB2312" w:asciiTheme="minorHAnsi" w:hAnsiTheme="minorHAnsi" w:cstheme="minorBidi"/>
                <w:color w:val="000000"/>
                <w:kern w:val="0"/>
                <w:sz w:val="24"/>
                <w:szCs w:val="22"/>
                <w:lang w:val="en-US" w:eastAsia="zh-CN" w:bidi="ar-SA"/>
              </w:rPr>
            </w:pPr>
            <w:r>
              <w:rPr>
                <w:rFonts w:eastAsia="仿宋_GB2312"/>
                <w:color w:val="000000"/>
                <w:kern w:val="0"/>
                <w:sz w:val="24"/>
              </w:rPr>
              <w:t>数量</w:t>
            </w:r>
          </w:p>
        </w:tc>
        <w:tc>
          <w:tcPr>
            <w:tcW w:w="1985" w:type="dxa"/>
            <w:shd w:val="clear" w:color="auto" w:fill="auto"/>
            <w:vAlign w:val="center"/>
          </w:tcPr>
          <w:p>
            <w:pPr>
              <w:widowControl/>
              <w:overflowPunct w:val="0"/>
              <w:adjustRightInd w:val="0"/>
              <w:snapToGrid w:val="0"/>
              <w:jc w:val="center"/>
              <w:rPr>
                <w:rFonts w:hint="eastAsia" w:eastAsia="仿宋_GB2312" w:asciiTheme="minorHAnsi" w:hAnsiTheme="minorHAnsi" w:cstheme="minorBidi"/>
                <w:color w:val="000000"/>
                <w:kern w:val="0"/>
                <w:sz w:val="24"/>
                <w:szCs w:val="22"/>
                <w:lang w:val="en-US" w:eastAsia="zh-CN" w:bidi="ar-SA"/>
              </w:rPr>
            </w:pPr>
            <w:r>
              <w:rPr>
                <w:rFonts w:hint="eastAsia" w:eastAsia="仿宋_GB2312"/>
                <w:color w:val="000000"/>
                <w:kern w:val="0"/>
                <w:sz w:val="24"/>
                <w:lang w:eastAsia="zh-CN"/>
              </w:rPr>
              <w:t>馆藏档案数字化</w:t>
            </w:r>
          </w:p>
        </w:tc>
        <w:tc>
          <w:tcPr>
            <w:tcW w:w="3402" w:type="dxa"/>
            <w:shd w:val="clear" w:color="auto" w:fill="auto"/>
            <w:vAlign w:val="center"/>
          </w:tcPr>
          <w:p>
            <w:pPr>
              <w:widowControl/>
              <w:overflowPunct w:val="0"/>
              <w:adjustRightInd w:val="0"/>
              <w:snapToGrid w:val="0"/>
              <w:jc w:val="center"/>
              <w:rPr>
                <w:rFonts w:hint="eastAsia" w:eastAsia="仿宋_GB2312" w:asciiTheme="minorHAnsi" w:hAnsiTheme="minorHAnsi" w:cstheme="minorBidi"/>
                <w:color w:val="000000"/>
                <w:kern w:val="0"/>
                <w:sz w:val="24"/>
                <w:szCs w:val="22"/>
                <w:lang w:val="en-US" w:eastAsia="zh-CN" w:bidi="ar-SA"/>
              </w:rPr>
            </w:pPr>
            <w:r>
              <w:rPr>
                <w:rFonts w:hint="eastAsia" w:ascii="宋体" w:hAnsi="宋体" w:eastAsia="宋体" w:cs="宋体"/>
                <w:color w:val="000000"/>
                <w:kern w:val="0"/>
                <w:sz w:val="18"/>
                <w:szCs w:val="18"/>
                <w:lang w:eastAsia="zh-CN"/>
              </w:rPr>
              <w:t>完成档案全文扫描</w:t>
            </w:r>
          </w:p>
        </w:tc>
        <w:tc>
          <w:tcPr>
            <w:tcW w:w="1843" w:type="dxa"/>
            <w:shd w:val="clear" w:color="auto" w:fill="auto"/>
            <w:vAlign w:val="center"/>
          </w:tcPr>
          <w:p>
            <w:pPr>
              <w:spacing w:line="300" w:lineRule="exact"/>
              <w:jc w:val="left"/>
              <w:rPr>
                <w:rFonts w:hint="eastAsia" w:ascii="Times New Roman" w:hAnsi="Times New Roman" w:eastAsia="仿宋_GB2312" w:cs="Times New Roman"/>
                <w:lang w:val="en-US" w:eastAsia="zh-CN"/>
              </w:rPr>
            </w:pPr>
            <w:r>
              <w:rPr>
                <w:rFonts w:hint="eastAsia" w:ascii="Times New Roman" w:hAnsi="Times New Roman" w:eastAsia="仿宋_GB2312" w:cs="Times New Roman"/>
                <w:lang w:val="en-US" w:eastAsia="zh-CN"/>
              </w:rPr>
              <w:t>3万页</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eastAsia="仿宋_GB2312" w:asciiTheme="minorHAnsi" w:hAnsiTheme="minorHAnsi" w:cstheme="minorBidi"/>
                <w:color w:val="000000"/>
                <w:kern w:val="0"/>
                <w:sz w:val="24"/>
                <w:szCs w:val="22"/>
                <w:lang w:val="en-US" w:eastAsia="zh-CN" w:bidi="ar-SA"/>
              </w:rPr>
            </w:pPr>
            <w:r>
              <w:rPr>
                <w:rFonts w:eastAsia="仿宋_GB2312"/>
                <w:color w:val="000000"/>
                <w:kern w:val="0"/>
                <w:sz w:val="24"/>
              </w:rPr>
              <w:t>质量</w:t>
            </w:r>
          </w:p>
        </w:tc>
        <w:tc>
          <w:tcPr>
            <w:tcW w:w="1985"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档案资料完好无损</w:t>
            </w:r>
          </w:p>
        </w:tc>
        <w:tc>
          <w:tcPr>
            <w:tcW w:w="3402"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无霉变、虫蛀等损害现象       无火灾</w:t>
            </w:r>
            <w:r>
              <w:rPr>
                <w:rFonts w:hint="eastAsia" w:ascii="宋体" w:hAnsi="宋体" w:cs="宋体"/>
                <w:i w:val="0"/>
                <w:color w:val="000000"/>
                <w:kern w:val="0"/>
                <w:sz w:val="18"/>
                <w:szCs w:val="18"/>
                <w:u w:val="none"/>
                <w:lang w:val="en-US" w:eastAsia="zh-CN" w:bidi="ar"/>
              </w:rPr>
              <w:t>水灾</w:t>
            </w:r>
            <w:r>
              <w:rPr>
                <w:rFonts w:hint="eastAsia" w:ascii="宋体" w:hAnsi="宋体" w:eastAsia="宋体" w:cs="宋体"/>
                <w:i w:val="0"/>
                <w:color w:val="000000"/>
                <w:kern w:val="0"/>
                <w:sz w:val="18"/>
                <w:szCs w:val="18"/>
                <w:u w:val="none"/>
                <w:lang w:val="en-US" w:eastAsia="zh-CN" w:bidi="ar"/>
              </w:rPr>
              <w:t>等责任事故</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lang w:val="en-US" w:eastAsia="zh-CN"/>
              </w:rPr>
              <w:t>100%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eastAsia="仿宋_GB2312" w:asciiTheme="minorHAnsi" w:hAnsiTheme="minorHAnsi" w:cstheme="minorBidi"/>
                <w:color w:val="000000"/>
                <w:kern w:val="0"/>
                <w:sz w:val="24"/>
                <w:szCs w:val="22"/>
                <w:lang w:val="en-US" w:eastAsia="zh-CN" w:bidi="ar-SA"/>
              </w:rPr>
            </w:pPr>
            <w:r>
              <w:rPr>
                <w:rFonts w:eastAsia="仿宋_GB2312"/>
                <w:color w:val="000000"/>
                <w:kern w:val="0"/>
                <w:sz w:val="24"/>
              </w:rPr>
              <w:t>质量</w:t>
            </w:r>
          </w:p>
        </w:tc>
        <w:tc>
          <w:tcPr>
            <w:tcW w:w="1985"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接收档案规范</w:t>
            </w:r>
          </w:p>
        </w:tc>
        <w:tc>
          <w:tcPr>
            <w:tcW w:w="3402"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达标率</w:t>
            </w:r>
          </w:p>
        </w:tc>
        <w:tc>
          <w:tcPr>
            <w:tcW w:w="1843" w:type="dxa"/>
            <w:shd w:val="clear" w:color="auto" w:fill="auto"/>
            <w:vAlign w:val="center"/>
          </w:tcPr>
          <w:p>
            <w:pPr>
              <w:spacing w:line="300" w:lineRule="exact"/>
              <w:jc w:val="left"/>
              <w:rPr>
                <w:rFonts w:hint="default" w:ascii="Times New Roman" w:hAnsi="Times New Roman" w:eastAsia="仿宋_GB2312" w:cs="Times New Roman"/>
                <w:lang w:val="en-US"/>
              </w:rPr>
            </w:pPr>
            <w:r>
              <w:rPr>
                <w:rFonts w:hint="eastAsia" w:ascii="仿宋_GB2312" w:hAnsi="仿宋_GB2312" w:eastAsia="仿宋_GB2312" w:cs="仿宋_GB2312"/>
                <w:i w:val="0"/>
                <w:color w:val="000000"/>
                <w:kern w:val="0"/>
                <w:sz w:val="18"/>
                <w:szCs w:val="18"/>
                <w:u w:val="none"/>
                <w:lang w:val="en-US" w:eastAsia="zh-CN" w:bidi="ar"/>
              </w:rPr>
              <w:t>≥95%</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eastAsia="仿宋_GB2312" w:asciiTheme="minorHAnsi" w:hAnsiTheme="minorHAnsi" w:cstheme="minorBidi"/>
                <w:color w:val="000000"/>
                <w:kern w:val="0"/>
                <w:sz w:val="24"/>
                <w:szCs w:val="22"/>
                <w:lang w:val="en-US" w:eastAsia="zh-CN" w:bidi="ar-SA"/>
              </w:rPr>
            </w:pPr>
            <w:r>
              <w:rPr>
                <w:rFonts w:eastAsia="仿宋_GB2312"/>
                <w:color w:val="000000"/>
                <w:kern w:val="0"/>
                <w:sz w:val="24"/>
              </w:rPr>
              <w:t>质量</w:t>
            </w:r>
          </w:p>
        </w:tc>
        <w:tc>
          <w:tcPr>
            <w:tcW w:w="1985"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 xml:space="preserve">档案整理质量 </w:t>
            </w:r>
          </w:p>
        </w:tc>
        <w:tc>
          <w:tcPr>
            <w:tcW w:w="3402"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达</w:t>
            </w:r>
            <w:r>
              <w:rPr>
                <w:rFonts w:hint="eastAsia" w:ascii="宋体" w:hAnsi="宋体" w:cs="宋体"/>
                <w:i w:val="0"/>
                <w:color w:val="000000"/>
                <w:kern w:val="0"/>
                <w:sz w:val="18"/>
                <w:szCs w:val="18"/>
                <w:u w:val="none"/>
                <w:lang w:val="en-US" w:eastAsia="zh-CN" w:bidi="ar"/>
              </w:rPr>
              <w:t>规范</w:t>
            </w:r>
            <w:r>
              <w:rPr>
                <w:rFonts w:hint="eastAsia" w:ascii="宋体" w:hAnsi="宋体" w:eastAsia="宋体" w:cs="宋体"/>
                <w:i w:val="0"/>
                <w:color w:val="000000"/>
                <w:kern w:val="0"/>
                <w:sz w:val="18"/>
                <w:szCs w:val="18"/>
                <w:u w:val="none"/>
                <w:lang w:val="en-US" w:eastAsia="zh-CN" w:bidi="ar"/>
              </w:rPr>
              <w:t>标</w:t>
            </w:r>
            <w:r>
              <w:rPr>
                <w:rFonts w:hint="eastAsia" w:ascii="宋体" w:hAnsi="宋体" w:cs="宋体"/>
                <w:i w:val="0"/>
                <w:color w:val="000000"/>
                <w:kern w:val="0"/>
                <w:sz w:val="18"/>
                <w:szCs w:val="18"/>
                <w:u w:val="none"/>
                <w:lang w:val="en-US" w:eastAsia="zh-CN" w:bidi="ar"/>
              </w:rPr>
              <w:t>准</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lang w:val="en-US" w:eastAsia="zh-CN"/>
              </w:rPr>
              <w:t>100%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eastAsia="仿宋_GB2312" w:asciiTheme="minorHAnsi" w:hAnsiTheme="minorHAnsi" w:cstheme="minorBidi"/>
                <w:color w:val="000000"/>
                <w:kern w:val="0"/>
                <w:sz w:val="24"/>
                <w:szCs w:val="22"/>
                <w:lang w:val="en-US" w:eastAsia="zh-CN" w:bidi="ar-SA"/>
              </w:rPr>
            </w:pPr>
            <w:r>
              <w:rPr>
                <w:rFonts w:eastAsia="仿宋_GB2312"/>
                <w:color w:val="000000"/>
                <w:kern w:val="0"/>
                <w:sz w:val="24"/>
              </w:rPr>
              <w:t>质量</w:t>
            </w:r>
          </w:p>
        </w:tc>
        <w:tc>
          <w:tcPr>
            <w:tcW w:w="1985"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信息化建设</w:t>
            </w:r>
          </w:p>
        </w:tc>
        <w:tc>
          <w:tcPr>
            <w:tcW w:w="3402"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cs="宋体"/>
                <w:i w:val="0"/>
                <w:color w:val="000000"/>
                <w:kern w:val="0"/>
                <w:sz w:val="18"/>
                <w:szCs w:val="18"/>
                <w:u w:val="none"/>
                <w:lang w:val="en-US" w:eastAsia="zh-CN" w:bidi="ar"/>
              </w:rPr>
              <w:t>数字化档案数据挂接转换达标率</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lang w:val="en-US" w:eastAsia="zh-CN"/>
              </w:rPr>
              <w:t>100%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hint="eastAsia" w:eastAsia="仿宋_GB2312" w:asciiTheme="minorHAnsi" w:hAnsiTheme="minorHAnsi" w:cstheme="minorBidi"/>
                <w:color w:val="000000"/>
                <w:kern w:val="0"/>
                <w:sz w:val="24"/>
                <w:szCs w:val="22"/>
                <w:lang w:val="en-US" w:eastAsia="zh-CN" w:bidi="ar-SA"/>
              </w:rPr>
            </w:pPr>
            <w:r>
              <w:rPr>
                <w:rFonts w:hint="eastAsia" w:eastAsia="仿宋_GB2312"/>
                <w:color w:val="000000"/>
                <w:kern w:val="0"/>
                <w:sz w:val="24"/>
                <w:lang w:eastAsia="zh-CN"/>
              </w:rPr>
              <w:t>质量</w:t>
            </w:r>
          </w:p>
        </w:tc>
        <w:tc>
          <w:tcPr>
            <w:tcW w:w="198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馆藏档案数字化</w:t>
            </w:r>
          </w:p>
        </w:tc>
        <w:tc>
          <w:tcPr>
            <w:tcW w:w="3402" w:type="dxa"/>
            <w:shd w:val="clear" w:color="auto" w:fill="auto"/>
            <w:vAlign w:val="center"/>
          </w:tcPr>
          <w:p>
            <w:pPr>
              <w:keepNext w:val="0"/>
              <w:keepLines w:val="0"/>
              <w:widowControl/>
              <w:suppressLineNumbers w:val="0"/>
              <w:jc w:val="left"/>
              <w:textAlignment w:val="center"/>
              <w:rPr>
                <w:rFonts w:hint="eastAsia" w:ascii="宋体" w:hAnsi="宋体" w:cs="宋体" w:eastAsiaTheme="minorEastAsia"/>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档案全文扫描质量达标率</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仿宋_GB2312" w:hAnsi="仿宋_GB2312" w:eastAsia="仿宋_GB2312" w:cs="仿宋_GB2312"/>
                <w:i w:val="0"/>
                <w:color w:val="000000"/>
                <w:kern w:val="0"/>
                <w:sz w:val="18"/>
                <w:szCs w:val="18"/>
                <w:u w:val="none"/>
                <w:lang w:val="en-US" w:eastAsia="zh-CN" w:bidi="ar"/>
              </w:rPr>
              <w:t>≥98%</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hint="eastAsia" w:eastAsia="仿宋_GB2312" w:asciiTheme="minorHAnsi" w:hAnsiTheme="minorHAnsi" w:cstheme="minorBidi"/>
                <w:color w:val="000000"/>
                <w:kern w:val="0"/>
                <w:sz w:val="24"/>
                <w:szCs w:val="22"/>
                <w:lang w:val="en-US" w:eastAsia="zh-CN" w:bidi="ar-SA"/>
              </w:rPr>
            </w:pPr>
            <w:r>
              <w:rPr>
                <w:rFonts w:hint="eastAsia" w:eastAsia="仿宋_GB2312"/>
                <w:color w:val="000000"/>
                <w:kern w:val="0"/>
                <w:sz w:val="24"/>
                <w:lang w:eastAsia="zh-CN"/>
              </w:rPr>
              <w:t>质量</w:t>
            </w:r>
          </w:p>
        </w:tc>
        <w:tc>
          <w:tcPr>
            <w:tcW w:w="1985" w:type="dxa"/>
            <w:shd w:val="clear" w:color="auto" w:fill="auto"/>
            <w:vAlign w:val="center"/>
          </w:tcPr>
          <w:p>
            <w:pPr>
              <w:keepNext w:val="0"/>
              <w:keepLines w:val="0"/>
              <w:widowControl/>
              <w:suppressLineNumbers w:val="0"/>
              <w:jc w:val="left"/>
              <w:textAlignment w:val="center"/>
              <w:rPr>
                <w:rFonts w:hint="eastAsia" w:ascii="宋体" w:hAnsi="宋体" w:cs="宋体" w:eastAsiaTheme="minorEastAsia"/>
                <w:i w:val="0"/>
                <w:color w:val="000000"/>
                <w:kern w:val="0"/>
                <w:sz w:val="18"/>
                <w:szCs w:val="18"/>
                <w:u w:val="none"/>
                <w:lang w:val="en-US" w:eastAsia="zh-CN" w:bidi="ar"/>
              </w:rPr>
            </w:pPr>
            <w:r>
              <w:rPr>
                <w:rFonts w:hint="eastAsia" w:ascii="宋体" w:hAnsi="宋体" w:cs="宋体"/>
                <w:i w:val="0"/>
                <w:color w:val="000000"/>
                <w:kern w:val="0"/>
                <w:sz w:val="18"/>
                <w:szCs w:val="18"/>
                <w:u w:val="none"/>
                <w:lang w:val="en-US" w:eastAsia="zh-CN" w:bidi="ar"/>
              </w:rPr>
              <w:t>开发档案资源</w:t>
            </w:r>
          </w:p>
        </w:tc>
        <w:tc>
          <w:tcPr>
            <w:tcW w:w="3402" w:type="dxa"/>
            <w:shd w:val="clear" w:color="auto" w:fill="auto"/>
            <w:vAlign w:val="center"/>
          </w:tcPr>
          <w:p>
            <w:pPr>
              <w:keepNext w:val="0"/>
              <w:keepLines w:val="0"/>
              <w:widowControl/>
              <w:suppressLineNumbers w:val="0"/>
              <w:jc w:val="left"/>
              <w:textAlignment w:val="center"/>
              <w:rPr>
                <w:rFonts w:hint="eastAsia" w:ascii="宋体" w:hAnsi="宋体" w:cs="宋体" w:eastAsiaTheme="minorEastAsia"/>
                <w:i w:val="0"/>
                <w:color w:val="000000"/>
                <w:kern w:val="0"/>
                <w:sz w:val="18"/>
                <w:szCs w:val="18"/>
                <w:u w:val="none"/>
                <w:lang w:val="en-US" w:eastAsia="zh-CN" w:bidi="ar"/>
              </w:rPr>
            </w:pPr>
            <w:r>
              <w:rPr>
                <w:rFonts w:hint="eastAsia" w:ascii="宋体" w:hAnsi="宋体" w:eastAsia="宋体" w:cs="宋体"/>
                <w:color w:val="000000"/>
                <w:kern w:val="0"/>
                <w:sz w:val="18"/>
                <w:szCs w:val="18"/>
                <w:lang w:val="en-US" w:eastAsia="zh-CN"/>
              </w:rPr>
              <w:t>《永清县档案局（馆）基础数字汇编》</w:t>
            </w:r>
            <w:r>
              <w:rPr>
                <w:rFonts w:hint="eastAsia" w:ascii="宋体" w:hAnsi="宋体" w:cs="宋体"/>
                <w:color w:val="000000"/>
                <w:kern w:val="0"/>
                <w:sz w:val="18"/>
                <w:szCs w:val="18"/>
                <w:lang w:val="en-US" w:eastAsia="zh-CN"/>
              </w:rPr>
              <w:t>续编</w:t>
            </w:r>
            <w:r>
              <w:rPr>
                <w:rFonts w:hint="eastAsia" w:ascii="宋体" w:hAnsi="宋体" w:cs="宋体"/>
                <w:i w:val="0"/>
                <w:color w:val="000000"/>
                <w:kern w:val="0"/>
                <w:sz w:val="18"/>
                <w:szCs w:val="18"/>
                <w:u w:val="none"/>
                <w:lang w:val="en-US" w:eastAsia="zh-CN" w:bidi="ar"/>
              </w:rPr>
              <w:t>质量达标率</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lang w:val="en-US" w:eastAsia="zh-CN"/>
              </w:rPr>
              <w:t>100%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eastAsia="仿宋_GB2312" w:asciiTheme="minorHAnsi" w:hAnsiTheme="minorHAnsi" w:cstheme="minorBidi"/>
                <w:color w:val="000000"/>
                <w:kern w:val="0"/>
                <w:sz w:val="24"/>
                <w:szCs w:val="22"/>
                <w:lang w:val="en-US" w:eastAsia="zh-CN" w:bidi="ar-SA"/>
              </w:rPr>
            </w:pPr>
            <w:r>
              <w:rPr>
                <w:rFonts w:eastAsia="仿宋_GB2312"/>
                <w:color w:val="000000"/>
                <w:kern w:val="0"/>
                <w:sz w:val="24"/>
              </w:rPr>
              <w:t>时效</w:t>
            </w:r>
          </w:p>
        </w:tc>
        <w:tc>
          <w:tcPr>
            <w:tcW w:w="1985"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完成年度任务及时性</w:t>
            </w:r>
          </w:p>
        </w:tc>
        <w:tc>
          <w:tcPr>
            <w:tcW w:w="3402"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年底前完成各项工作</w:t>
            </w:r>
          </w:p>
        </w:tc>
        <w:tc>
          <w:tcPr>
            <w:tcW w:w="1843" w:type="dxa"/>
            <w:shd w:val="clear" w:color="auto" w:fill="auto"/>
            <w:vAlign w:val="center"/>
          </w:tcPr>
          <w:p>
            <w:pPr>
              <w:spacing w:line="300" w:lineRule="exact"/>
              <w:jc w:val="left"/>
              <w:rPr>
                <w:rFonts w:hint="eastAsia" w:ascii="Times New Roman" w:hAnsi="Times New Roman" w:eastAsia="仿宋_GB2312" w:cs="Times New Roman"/>
                <w:lang w:eastAsia="zh-CN"/>
              </w:rPr>
            </w:pPr>
            <w:r>
              <w:rPr>
                <w:rFonts w:hint="eastAsia" w:ascii="Times New Roman" w:hAnsi="Times New Roman" w:eastAsia="仿宋_GB2312" w:cs="Times New Roman"/>
                <w:lang w:eastAsia="zh-CN"/>
              </w:rPr>
              <w:t>按时完成年度任务</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widowControl/>
              <w:overflowPunct w:val="0"/>
              <w:adjustRightInd w:val="0"/>
              <w:snapToGrid w:val="0"/>
              <w:jc w:val="center"/>
              <w:rPr>
                <w:rFonts w:eastAsia="仿宋_GB2312" w:asciiTheme="minorHAnsi" w:hAnsiTheme="minorHAnsi" w:cstheme="minorBidi"/>
                <w:color w:val="000000"/>
                <w:kern w:val="0"/>
                <w:sz w:val="24"/>
                <w:szCs w:val="22"/>
                <w:lang w:val="en-US" w:eastAsia="zh-CN" w:bidi="ar-SA"/>
              </w:rPr>
            </w:pPr>
            <w:r>
              <w:rPr>
                <w:rFonts w:eastAsia="仿宋_GB2312"/>
                <w:color w:val="000000"/>
                <w:kern w:val="0"/>
                <w:sz w:val="24"/>
              </w:rPr>
              <w:t>成本</w:t>
            </w:r>
          </w:p>
        </w:tc>
        <w:tc>
          <w:tcPr>
            <w:tcW w:w="1985"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档案馆日常整理经费</w:t>
            </w:r>
          </w:p>
        </w:tc>
        <w:tc>
          <w:tcPr>
            <w:tcW w:w="3402" w:type="dxa"/>
            <w:shd w:val="clear" w:color="auto" w:fill="auto"/>
            <w:vAlign w:val="center"/>
          </w:tcPr>
          <w:p>
            <w:pPr>
              <w:keepNext w:val="0"/>
              <w:keepLines w:val="0"/>
              <w:widowControl/>
              <w:suppressLineNumbers w:val="0"/>
              <w:jc w:val="left"/>
              <w:textAlignment w:val="center"/>
              <w:rPr>
                <w:rFonts w:eastAsia="仿宋_GB2312" w:asciiTheme="minorHAnsi" w:hAnsiTheme="minorHAnsi" w:cstheme="minorBidi"/>
                <w:color w:val="000000"/>
                <w:kern w:val="0"/>
                <w:sz w:val="24"/>
                <w:szCs w:val="22"/>
                <w:lang w:val="en-US" w:eastAsia="zh-CN" w:bidi="ar-SA"/>
              </w:rPr>
            </w:pPr>
            <w:r>
              <w:rPr>
                <w:rFonts w:hint="eastAsia" w:ascii="宋体" w:hAnsi="宋体" w:eastAsia="宋体" w:cs="宋体"/>
                <w:i w:val="0"/>
                <w:color w:val="000000"/>
                <w:kern w:val="0"/>
                <w:sz w:val="18"/>
                <w:szCs w:val="18"/>
                <w:u w:val="none"/>
                <w:lang w:val="en-US" w:eastAsia="zh-CN" w:bidi="ar"/>
              </w:rPr>
              <w:t>开支</w:t>
            </w:r>
          </w:p>
        </w:tc>
        <w:tc>
          <w:tcPr>
            <w:tcW w:w="1843" w:type="dxa"/>
            <w:shd w:val="clear" w:color="auto" w:fill="auto"/>
            <w:vAlign w:val="center"/>
          </w:tcPr>
          <w:p>
            <w:pPr>
              <w:spacing w:line="300" w:lineRule="exact"/>
              <w:jc w:val="left"/>
              <w:rPr>
                <w:rFonts w:hint="default" w:ascii="Times New Roman" w:hAnsi="Times New Roman" w:eastAsia="仿宋_GB2312" w:cs="Times New Roman"/>
                <w:lang w:val="en-US"/>
              </w:rPr>
            </w:pPr>
            <w:r>
              <w:rPr>
                <w:rFonts w:hint="eastAsia" w:ascii="宋体" w:hAnsi="宋体" w:eastAsia="宋体" w:cs="宋体"/>
                <w:i w:val="0"/>
                <w:color w:val="000000"/>
                <w:kern w:val="0"/>
                <w:sz w:val="18"/>
                <w:szCs w:val="18"/>
                <w:u w:val="none"/>
                <w:lang w:val="en-US" w:eastAsia="zh-CN" w:bidi="ar"/>
              </w:rPr>
              <w:t>≤3万元</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eastAsia="宋体" w:cs="宋体"/>
                <w:i w:val="0"/>
                <w:color w:val="000000"/>
                <w:kern w:val="0"/>
                <w:sz w:val="18"/>
                <w:szCs w:val="18"/>
                <w:u w:val="none"/>
                <w:lang w:val="en-US" w:eastAsia="zh-CN" w:bidi="ar"/>
              </w:rPr>
              <w:t>省委办冀办发【2015】24号文（每卷两元预算标准）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eastAsia="仿宋_GB2312"/>
                <w:color w:val="000000"/>
                <w:kern w:val="0"/>
                <w:sz w:val="24"/>
              </w:rPr>
              <w:t>社会效益</w:t>
            </w:r>
          </w:p>
        </w:tc>
        <w:tc>
          <w:tcPr>
            <w:tcW w:w="198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为全社会提供档案利用服务</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eastAsia="宋体" w:cs="宋体"/>
                <w:i w:val="0"/>
                <w:color w:val="000000"/>
                <w:kern w:val="0"/>
                <w:sz w:val="18"/>
                <w:szCs w:val="18"/>
                <w:u w:val="none"/>
                <w:lang w:val="en-US" w:eastAsia="zh-CN" w:bidi="ar"/>
              </w:rPr>
              <w:t>全年接待查档人次</w:t>
            </w:r>
          </w:p>
        </w:tc>
        <w:tc>
          <w:tcPr>
            <w:tcW w:w="1843" w:type="dxa"/>
            <w:shd w:val="clear" w:color="auto" w:fill="auto"/>
            <w:vAlign w:val="center"/>
          </w:tcPr>
          <w:p>
            <w:pPr>
              <w:spacing w:line="300" w:lineRule="exact"/>
              <w:jc w:val="left"/>
              <w:rPr>
                <w:rFonts w:hint="default" w:ascii="Times New Roman" w:hAnsi="Times New Roman" w:eastAsia="仿宋_GB2312" w:cs="Times New Roman"/>
                <w:lang w:val="en-US"/>
              </w:rPr>
            </w:pPr>
            <w:r>
              <w:rPr>
                <w:rFonts w:hint="eastAsia" w:ascii="宋体" w:hAnsi="宋体" w:eastAsia="宋体" w:cs="宋体"/>
                <w:i w:val="0"/>
                <w:color w:val="000000"/>
                <w:kern w:val="0"/>
                <w:sz w:val="18"/>
                <w:szCs w:val="18"/>
                <w:u w:val="none"/>
                <w:lang w:val="en-US" w:eastAsia="zh-CN" w:bidi="ar"/>
              </w:rPr>
              <w:t>≥600人次</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pPr>
              <w:spacing w:line="300" w:lineRule="exact"/>
              <w:jc w:val="center"/>
              <w:rPr>
                <w:rFonts w:ascii="Times New Roman" w:hAnsi="Times New Roman" w:eastAsia="仿宋_GB2312" w:cs="Times New Roman"/>
              </w:rPr>
            </w:p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eastAsia="仿宋_GB2312"/>
                <w:color w:val="000000"/>
                <w:kern w:val="0"/>
                <w:sz w:val="24"/>
              </w:rPr>
              <w:t>可持续影响</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eastAsia="宋体" w:cs="宋体"/>
                <w:i w:val="0"/>
                <w:color w:val="000000"/>
                <w:kern w:val="0"/>
                <w:sz w:val="18"/>
                <w:szCs w:val="18"/>
                <w:u w:val="none"/>
                <w:lang w:val="en-US" w:eastAsia="zh-CN" w:bidi="ar"/>
              </w:rPr>
              <w:t>馆藏档案发挥效用年份</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eastAsia="宋体" w:cs="宋体"/>
                <w:i w:val="0"/>
                <w:color w:val="000000"/>
                <w:kern w:val="0"/>
                <w:sz w:val="18"/>
                <w:szCs w:val="18"/>
                <w:u w:val="none"/>
                <w:lang w:val="en-US" w:eastAsia="zh-CN" w:bidi="ar"/>
              </w:rPr>
              <w:t>时效年份</w:t>
            </w:r>
          </w:p>
        </w:tc>
        <w:tc>
          <w:tcPr>
            <w:tcW w:w="1843" w:type="dxa"/>
            <w:shd w:val="clear" w:color="auto" w:fill="auto"/>
            <w:vAlign w:val="center"/>
          </w:tcPr>
          <w:p>
            <w:pPr>
              <w:spacing w:line="300" w:lineRule="exact"/>
              <w:jc w:val="left"/>
              <w:rPr>
                <w:rFonts w:hint="default" w:ascii="Times New Roman" w:hAnsi="Times New Roman" w:eastAsia="仿宋_GB2312" w:cs="Times New Roman"/>
                <w:lang w:val="en-US"/>
              </w:rPr>
            </w:pPr>
            <w:r>
              <w:rPr>
                <w:rFonts w:hint="eastAsia" w:ascii="宋体" w:hAnsi="宋体" w:eastAsia="宋体" w:cs="宋体"/>
                <w:i w:val="0"/>
                <w:color w:val="000000"/>
                <w:kern w:val="0"/>
                <w:sz w:val="18"/>
                <w:szCs w:val="18"/>
                <w:u w:val="none"/>
                <w:lang w:val="en-US" w:eastAsia="zh-CN" w:bidi="ar"/>
              </w:rPr>
              <w:t>≥30年</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eastAsia="宋体" w:cs="宋体"/>
                <w:i w:val="0"/>
                <w:color w:val="000000"/>
                <w:kern w:val="0"/>
                <w:sz w:val="18"/>
                <w:szCs w:val="18"/>
                <w:u w:val="none"/>
                <w:lang w:val="en-US" w:eastAsia="zh-CN" w:bidi="ar"/>
              </w:rPr>
              <w:t>服务对象满意度</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eastAsia="宋体" w:cs="宋体"/>
                <w:i w:val="0"/>
                <w:color w:val="000000"/>
                <w:kern w:val="0"/>
                <w:sz w:val="18"/>
                <w:szCs w:val="18"/>
                <w:u w:val="none"/>
                <w:lang w:val="en-US" w:eastAsia="zh-CN" w:bidi="ar"/>
              </w:rPr>
              <w:t>服务对象满意度</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eastAsia="宋体" w:cs="宋体"/>
                <w:i w:val="0"/>
                <w:color w:val="000000"/>
                <w:kern w:val="0"/>
                <w:sz w:val="18"/>
                <w:szCs w:val="18"/>
                <w:u w:val="none"/>
                <w:lang w:val="en-US" w:eastAsia="zh-CN" w:bidi="ar"/>
              </w:rPr>
              <w:t>社会满意度调查</w:t>
            </w:r>
          </w:p>
        </w:tc>
        <w:tc>
          <w:tcPr>
            <w:tcW w:w="1843" w:type="dxa"/>
            <w:shd w:val="clear" w:color="auto" w:fill="auto"/>
            <w:vAlign w:val="center"/>
          </w:tcPr>
          <w:p>
            <w:pPr>
              <w:spacing w:line="300" w:lineRule="exact"/>
              <w:jc w:val="left"/>
              <w:rPr>
                <w:rFonts w:hint="default" w:ascii="Times New Roman" w:hAnsi="Times New Roman" w:eastAsia="仿宋_GB2312" w:cs="Times New Roman"/>
                <w:lang w:val="en-US"/>
              </w:rPr>
            </w:pPr>
            <w:r>
              <w:rPr>
                <w:rFonts w:hint="eastAsia" w:ascii="宋体" w:hAnsi="宋体" w:eastAsia="宋体" w:cs="宋体"/>
                <w:i w:val="0"/>
                <w:color w:val="000000"/>
                <w:kern w:val="0"/>
                <w:sz w:val="18"/>
                <w:szCs w:val="18"/>
                <w:u w:val="none"/>
                <w:lang w:val="en-US" w:eastAsia="zh-CN" w:bidi="ar"/>
              </w:rPr>
              <w:t>≥95%</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宋体" w:hAnsi="宋体" w:cs="宋体"/>
                <w:i w:val="0"/>
                <w:color w:val="000000"/>
                <w:kern w:val="0"/>
                <w:sz w:val="18"/>
                <w:szCs w:val="18"/>
                <w:u w:val="none"/>
                <w:lang w:val="en-US" w:eastAsia="zh-CN" w:bidi="ar"/>
              </w:rPr>
              <w:t>年度工作计划</w:t>
            </w:r>
          </w:p>
        </w:tc>
      </w:tr>
    </w:tbl>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六、政府采购预算情况</w:t>
      </w:r>
    </w:p>
    <w:p>
      <w:pPr>
        <w:spacing w:line="584" w:lineRule="exact"/>
        <w:ind w:firstLine="640" w:firstLineChars="200"/>
        <w:outlineLvl w:val="0"/>
        <w:rPr>
          <w:rFonts w:ascii="Times New Roman" w:hAnsi="Times New Roman" w:eastAsia="仿宋_GB2312" w:cs="Times New Roman"/>
          <w:sz w:val="32"/>
          <w:szCs w:val="24"/>
        </w:rPr>
      </w:pPr>
      <w:bookmarkStart w:id="0" w:name="_Toc471398468"/>
      <w:r>
        <w:rPr>
          <w:rFonts w:ascii="Times New Roman" w:hAnsi="Times New Roman" w:eastAsia="仿宋_GB2312" w:cs="Times New Roman"/>
          <w:sz w:val="32"/>
          <w:szCs w:val="24"/>
        </w:rPr>
        <w:t>2023年，我部门安排政府采购预算</w:t>
      </w:r>
      <w:r>
        <w:rPr>
          <w:rFonts w:hint="eastAsia" w:ascii="Times New Roman" w:hAnsi="Times New Roman" w:eastAsia="仿宋_GB2312" w:cs="Times New Roman"/>
          <w:sz w:val="32"/>
          <w:szCs w:val="24"/>
          <w:lang w:val="en-US" w:eastAsia="zh-CN"/>
        </w:rPr>
        <w:t>0</w:t>
      </w:r>
      <w:r>
        <w:rPr>
          <w:rFonts w:ascii="Times New Roman" w:hAnsi="Times New Roman" w:eastAsia="仿宋_GB2312" w:cs="Times New Roman"/>
          <w:sz w:val="32"/>
          <w:szCs w:val="24"/>
        </w:rPr>
        <w:t>万元。具体内容见下表。</w:t>
      </w:r>
    </w:p>
    <w:bookmarkEnd w:id="0"/>
    <w:p>
      <w:pPr>
        <w:spacing w:line="584" w:lineRule="exact"/>
        <w:jc w:val="left"/>
        <w:outlineLvl w:val="0"/>
        <w:rPr>
          <w:rFonts w:ascii="Times New Roman" w:hAnsi="Times New Roman" w:eastAsia="仿宋_GB2312" w:cs="Times New Roman"/>
        </w:rPr>
      </w:pPr>
    </w:p>
    <w:p>
      <w:pPr>
        <w:jc w:val="center"/>
        <w:outlineLvl w:val="1"/>
        <w:rPr>
          <w:rFonts w:ascii="方正小标宋_GBK" w:eastAsia="方正小标宋_GBK" w:cs="Times New Roman"/>
          <w:sz w:val="32"/>
        </w:rPr>
      </w:pPr>
      <w:bookmarkStart w:id="1" w:name="_Toc64920910"/>
      <w:r>
        <w:rPr>
          <w:rFonts w:hint="eastAsia" w:ascii="方正小标宋_GBK" w:eastAsia="方正小标宋_GBK" w:cs="Times New Roman"/>
          <w:sz w:val="32"/>
        </w:rPr>
        <w:t>部门政府采购预算</w:t>
      </w:r>
      <w:bookmarkEnd w:id="1"/>
    </w:p>
    <w:p>
      <w:pPr>
        <w:outlineLvl w:val="1"/>
        <w:rPr>
          <w:rFonts w:ascii="方正小标宋_GBK" w:eastAsia="方正小标宋_GBK" w:cs="Times New Roman"/>
          <w:sz w:val="32"/>
        </w:rPr>
      </w:pPr>
      <w:r>
        <w:t>永清县</w:t>
      </w:r>
      <w:r>
        <w:rPr>
          <w:rFonts w:hint="eastAsia"/>
          <w:lang w:eastAsia="zh-CN"/>
        </w:rPr>
        <w:t>档案馆</w:t>
      </w:r>
      <w:r>
        <w:t xml:space="preserve">                                                                                                               单位：万元</w:t>
      </w:r>
    </w:p>
    <w:tbl>
      <w:tblPr>
        <w:tblStyle w:val="8"/>
        <w:tblW w:w="1541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7"/>
        <w:gridCol w:w="964"/>
        <w:gridCol w:w="1134"/>
        <w:gridCol w:w="1134"/>
        <w:gridCol w:w="709"/>
        <w:gridCol w:w="850"/>
        <w:gridCol w:w="850"/>
        <w:gridCol w:w="964"/>
        <w:gridCol w:w="964"/>
        <w:gridCol w:w="964"/>
        <w:gridCol w:w="964"/>
        <w:gridCol w:w="964"/>
        <w:gridCol w:w="964"/>
        <w:gridCol w:w="964"/>
        <w:gridCol w:w="964"/>
        <w:gridCol w:w="9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061" w:type="dxa"/>
            <w:gridSpan w:val="2"/>
            <w:vAlign w:val="center"/>
          </w:tcPr>
          <w:p>
            <w:pPr>
              <w:pStyle w:val="17"/>
            </w:pPr>
            <w:r>
              <w:t>政府采购项目来源</w:t>
            </w:r>
          </w:p>
        </w:tc>
        <w:tc>
          <w:tcPr>
            <w:tcW w:w="1134" w:type="dxa"/>
            <w:vMerge w:val="restart"/>
            <w:vAlign w:val="center"/>
          </w:tcPr>
          <w:p>
            <w:pPr>
              <w:pStyle w:val="17"/>
            </w:pPr>
            <w:r>
              <w:t>采购物品名称</w:t>
            </w:r>
          </w:p>
        </w:tc>
        <w:tc>
          <w:tcPr>
            <w:tcW w:w="1134" w:type="dxa"/>
            <w:vMerge w:val="restart"/>
            <w:vAlign w:val="center"/>
          </w:tcPr>
          <w:p>
            <w:pPr>
              <w:pStyle w:val="17"/>
            </w:pPr>
            <w:r>
              <w:t>政府采购目录序号</w:t>
            </w:r>
          </w:p>
        </w:tc>
        <w:tc>
          <w:tcPr>
            <w:tcW w:w="709" w:type="dxa"/>
            <w:vMerge w:val="restart"/>
            <w:vAlign w:val="center"/>
          </w:tcPr>
          <w:p>
            <w:pPr>
              <w:pStyle w:val="17"/>
            </w:pPr>
            <w:r>
              <w:t>计量  单位</w:t>
            </w:r>
          </w:p>
        </w:tc>
        <w:tc>
          <w:tcPr>
            <w:tcW w:w="850" w:type="dxa"/>
            <w:vMerge w:val="restart"/>
            <w:vAlign w:val="center"/>
          </w:tcPr>
          <w:p>
            <w:pPr>
              <w:pStyle w:val="17"/>
            </w:pPr>
            <w:r>
              <w:t>数量</w:t>
            </w:r>
          </w:p>
        </w:tc>
        <w:tc>
          <w:tcPr>
            <w:tcW w:w="850" w:type="dxa"/>
            <w:vMerge w:val="restart"/>
            <w:vAlign w:val="center"/>
          </w:tcPr>
          <w:p>
            <w:pPr>
              <w:pStyle w:val="17"/>
            </w:pPr>
            <w:r>
              <w:t>单价</w:t>
            </w:r>
          </w:p>
        </w:tc>
        <w:tc>
          <w:tcPr>
            <w:tcW w:w="7712" w:type="dxa"/>
            <w:gridSpan w:val="8"/>
            <w:vAlign w:val="center"/>
          </w:tcPr>
          <w:p>
            <w:pPr>
              <w:pStyle w:val="17"/>
            </w:pPr>
            <w:r>
              <w:t>政府采购金额（当年部门预算安排资金）</w:t>
            </w:r>
          </w:p>
        </w:tc>
        <w:tc>
          <w:tcPr>
            <w:tcW w:w="964" w:type="dxa"/>
            <w:vMerge w:val="restart"/>
            <w:vAlign w:val="center"/>
          </w:tcPr>
          <w:p>
            <w:pPr>
              <w:pStyle w:val="17"/>
            </w:pPr>
            <w:r>
              <w:t>2023年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097" w:type="dxa"/>
            <w:vAlign w:val="center"/>
          </w:tcPr>
          <w:p>
            <w:pPr>
              <w:pStyle w:val="17"/>
            </w:pPr>
            <w:r>
              <w:t>项目名称</w:t>
            </w:r>
          </w:p>
        </w:tc>
        <w:tc>
          <w:tcPr>
            <w:tcW w:w="964" w:type="dxa"/>
            <w:vAlign w:val="center"/>
          </w:tcPr>
          <w:p>
            <w:pPr>
              <w:pStyle w:val="17"/>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7"/>
            </w:pPr>
            <w:r>
              <w:t>合计</w:t>
            </w:r>
          </w:p>
        </w:tc>
        <w:tc>
          <w:tcPr>
            <w:tcW w:w="964" w:type="dxa"/>
            <w:vAlign w:val="center"/>
          </w:tcPr>
          <w:p>
            <w:pPr>
              <w:pStyle w:val="17"/>
            </w:pPr>
            <w:r>
              <w:t>一般公共预算拨款</w:t>
            </w:r>
          </w:p>
        </w:tc>
        <w:tc>
          <w:tcPr>
            <w:tcW w:w="964" w:type="dxa"/>
            <w:vAlign w:val="center"/>
          </w:tcPr>
          <w:p>
            <w:pPr>
              <w:pStyle w:val="17"/>
            </w:pPr>
            <w:r>
              <w:t>基金预算拨款</w:t>
            </w:r>
          </w:p>
        </w:tc>
        <w:tc>
          <w:tcPr>
            <w:tcW w:w="964" w:type="dxa"/>
            <w:vAlign w:val="center"/>
          </w:tcPr>
          <w:p>
            <w:pPr>
              <w:pStyle w:val="17"/>
            </w:pPr>
            <w:r>
              <w:t>国有资本经营预算拨款</w:t>
            </w:r>
          </w:p>
        </w:tc>
        <w:tc>
          <w:tcPr>
            <w:tcW w:w="964" w:type="dxa"/>
            <w:vAlign w:val="center"/>
          </w:tcPr>
          <w:p>
            <w:pPr>
              <w:pStyle w:val="17"/>
            </w:pPr>
            <w:r>
              <w:t>财政专户核拨</w:t>
            </w:r>
          </w:p>
        </w:tc>
        <w:tc>
          <w:tcPr>
            <w:tcW w:w="964" w:type="dxa"/>
            <w:vAlign w:val="center"/>
          </w:tcPr>
          <w:p>
            <w:pPr>
              <w:pStyle w:val="17"/>
            </w:pPr>
            <w:r>
              <w:t>单位    资金</w:t>
            </w:r>
          </w:p>
        </w:tc>
        <w:tc>
          <w:tcPr>
            <w:tcW w:w="964" w:type="dxa"/>
            <w:vAlign w:val="center"/>
          </w:tcPr>
          <w:p>
            <w:pPr>
              <w:pStyle w:val="17"/>
            </w:pPr>
            <w:r>
              <w:t>财政拨    款结转</w:t>
            </w:r>
          </w:p>
        </w:tc>
        <w:tc>
          <w:tcPr>
            <w:tcW w:w="964" w:type="dxa"/>
            <w:vAlign w:val="center"/>
          </w:tcPr>
          <w:p>
            <w:pPr>
              <w:pStyle w:val="17"/>
            </w:pPr>
            <w:r>
              <w:t>非财政    拨款结    转结余</w:t>
            </w:r>
          </w:p>
        </w:tc>
        <w:tc>
          <w:tcPr>
            <w:tcW w:w="96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pPr>
              <w:pStyle w:val="21"/>
            </w:pPr>
            <w:r>
              <w:t>合  计</w:t>
            </w:r>
          </w:p>
        </w:tc>
        <w:tc>
          <w:tcPr>
            <w:tcW w:w="964" w:type="dxa"/>
            <w:vAlign w:val="center"/>
          </w:tcPr>
          <w:p>
            <w:pPr>
              <w:pStyle w:val="22"/>
            </w:pPr>
          </w:p>
        </w:tc>
        <w:tc>
          <w:tcPr>
            <w:tcW w:w="1134" w:type="dxa"/>
            <w:vAlign w:val="center"/>
          </w:tcPr>
          <w:p>
            <w:pPr>
              <w:pStyle w:val="23"/>
            </w:pPr>
          </w:p>
        </w:tc>
        <w:tc>
          <w:tcPr>
            <w:tcW w:w="1134" w:type="dxa"/>
            <w:vAlign w:val="center"/>
          </w:tcPr>
          <w:p>
            <w:pPr>
              <w:pStyle w:val="23"/>
            </w:pPr>
          </w:p>
        </w:tc>
        <w:tc>
          <w:tcPr>
            <w:tcW w:w="709" w:type="dxa"/>
            <w:vAlign w:val="center"/>
          </w:tcPr>
          <w:p>
            <w:pPr>
              <w:pStyle w:val="21"/>
            </w:pPr>
          </w:p>
        </w:tc>
        <w:tc>
          <w:tcPr>
            <w:tcW w:w="850" w:type="dxa"/>
            <w:vAlign w:val="center"/>
          </w:tcPr>
          <w:p>
            <w:pPr>
              <w:pStyle w:val="22"/>
            </w:pPr>
          </w:p>
        </w:tc>
        <w:tc>
          <w:tcPr>
            <w:tcW w:w="850"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pPr>
              <w:pStyle w:val="21"/>
            </w:pPr>
          </w:p>
        </w:tc>
        <w:tc>
          <w:tcPr>
            <w:tcW w:w="964" w:type="dxa"/>
            <w:vAlign w:val="center"/>
          </w:tcPr>
          <w:p>
            <w:pPr>
              <w:pStyle w:val="22"/>
            </w:pPr>
          </w:p>
        </w:tc>
        <w:tc>
          <w:tcPr>
            <w:tcW w:w="1134" w:type="dxa"/>
            <w:vAlign w:val="center"/>
          </w:tcPr>
          <w:p>
            <w:pPr>
              <w:pStyle w:val="23"/>
            </w:pPr>
          </w:p>
        </w:tc>
        <w:tc>
          <w:tcPr>
            <w:tcW w:w="1134" w:type="dxa"/>
            <w:vAlign w:val="center"/>
          </w:tcPr>
          <w:p>
            <w:pPr>
              <w:pStyle w:val="23"/>
            </w:pPr>
          </w:p>
        </w:tc>
        <w:tc>
          <w:tcPr>
            <w:tcW w:w="709" w:type="dxa"/>
            <w:vAlign w:val="center"/>
          </w:tcPr>
          <w:p>
            <w:pPr>
              <w:pStyle w:val="21"/>
            </w:pPr>
          </w:p>
        </w:tc>
        <w:tc>
          <w:tcPr>
            <w:tcW w:w="850" w:type="dxa"/>
            <w:vAlign w:val="center"/>
          </w:tcPr>
          <w:p>
            <w:pPr>
              <w:pStyle w:val="22"/>
            </w:pPr>
          </w:p>
        </w:tc>
        <w:tc>
          <w:tcPr>
            <w:tcW w:w="850"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c>
          <w:tcPr>
            <w:tcW w:w="964" w:type="dxa"/>
            <w:vAlign w:val="center"/>
          </w:tcPr>
          <w:p>
            <w:pPr>
              <w:pStyle w:val="22"/>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pPr>
              <w:pStyle w:val="19"/>
            </w:pPr>
          </w:p>
        </w:tc>
        <w:tc>
          <w:tcPr>
            <w:tcW w:w="964" w:type="dxa"/>
            <w:vAlign w:val="center"/>
          </w:tcPr>
          <w:p>
            <w:pPr>
              <w:pStyle w:val="18"/>
            </w:pPr>
          </w:p>
        </w:tc>
        <w:tc>
          <w:tcPr>
            <w:tcW w:w="1134" w:type="dxa"/>
            <w:vAlign w:val="center"/>
          </w:tcPr>
          <w:p>
            <w:pPr>
              <w:pStyle w:val="19"/>
            </w:pPr>
          </w:p>
        </w:tc>
        <w:tc>
          <w:tcPr>
            <w:tcW w:w="1134" w:type="dxa"/>
            <w:vAlign w:val="center"/>
          </w:tcPr>
          <w:p>
            <w:pPr>
              <w:pStyle w:val="19"/>
            </w:pPr>
          </w:p>
        </w:tc>
        <w:tc>
          <w:tcPr>
            <w:tcW w:w="709" w:type="dxa"/>
            <w:vAlign w:val="center"/>
          </w:tcPr>
          <w:p>
            <w:pPr>
              <w:pStyle w:val="20"/>
            </w:pPr>
          </w:p>
        </w:tc>
        <w:tc>
          <w:tcPr>
            <w:tcW w:w="850" w:type="dxa"/>
            <w:vAlign w:val="center"/>
          </w:tcPr>
          <w:p>
            <w:pPr>
              <w:pStyle w:val="18"/>
            </w:pPr>
          </w:p>
        </w:tc>
        <w:tc>
          <w:tcPr>
            <w:tcW w:w="850" w:type="dxa"/>
            <w:vAlign w:val="center"/>
          </w:tcPr>
          <w:p>
            <w:pPr>
              <w:pStyle w:val="18"/>
            </w:pPr>
          </w:p>
        </w:tc>
        <w:tc>
          <w:tcPr>
            <w:tcW w:w="964" w:type="dxa"/>
            <w:vAlign w:val="center"/>
          </w:tcPr>
          <w:p>
            <w:pPr>
              <w:pStyle w:val="18"/>
            </w:pPr>
          </w:p>
        </w:tc>
        <w:tc>
          <w:tcPr>
            <w:tcW w:w="964" w:type="dxa"/>
            <w:vAlign w:val="center"/>
          </w:tcPr>
          <w:p>
            <w:pPr>
              <w:pStyle w:val="18"/>
            </w:pPr>
          </w:p>
        </w:tc>
        <w:tc>
          <w:tcPr>
            <w:tcW w:w="964" w:type="dxa"/>
            <w:vAlign w:val="center"/>
          </w:tcPr>
          <w:p>
            <w:pPr>
              <w:pStyle w:val="18"/>
            </w:pPr>
          </w:p>
        </w:tc>
        <w:tc>
          <w:tcPr>
            <w:tcW w:w="964" w:type="dxa"/>
            <w:vAlign w:val="center"/>
          </w:tcPr>
          <w:p>
            <w:pPr>
              <w:pStyle w:val="18"/>
            </w:pPr>
          </w:p>
        </w:tc>
        <w:tc>
          <w:tcPr>
            <w:tcW w:w="964" w:type="dxa"/>
            <w:vAlign w:val="center"/>
          </w:tcPr>
          <w:p>
            <w:pPr>
              <w:pStyle w:val="18"/>
            </w:pPr>
          </w:p>
        </w:tc>
        <w:tc>
          <w:tcPr>
            <w:tcW w:w="964" w:type="dxa"/>
            <w:vAlign w:val="center"/>
          </w:tcPr>
          <w:p>
            <w:pPr>
              <w:pStyle w:val="18"/>
            </w:pPr>
          </w:p>
        </w:tc>
        <w:tc>
          <w:tcPr>
            <w:tcW w:w="964" w:type="dxa"/>
            <w:vAlign w:val="center"/>
          </w:tcPr>
          <w:p>
            <w:pPr>
              <w:pStyle w:val="18"/>
            </w:pPr>
          </w:p>
        </w:tc>
        <w:tc>
          <w:tcPr>
            <w:tcW w:w="964" w:type="dxa"/>
            <w:vAlign w:val="center"/>
          </w:tcPr>
          <w:p>
            <w:pPr>
              <w:pStyle w:val="18"/>
            </w:pPr>
          </w:p>
        </w:tc>
        <w:tc>
          <w:tcPr>
            <w:tcW w:w="964" w:type="dxa"/>
            <w:vAlign w:val="center"/>
          </w:tcPr>
          <w:p>
            <w:pPr>
              <w:pStyle w:val="18"/>
            </w:pPr>
          </w:p>
        </w:tc>
      </w:tr>
    </w:tbl>
    <w:p>
      <w:pPr>
        <w:spacing w:line="500" w:lineRule="exact"/>
        <w:ind w:firstLine="420"/>
        <w:rPr>
          <w:rFonts w:ascii="方正仿宋_GBK" w:hAnsi="方正仿宋_GBK" w:eastAsia="方正仿宋_GBK" w:cs="方正仿宋_GBK"/>
          <w:color w:val="000000"/>
        </w:rPr>
      </w:pPr>
      <w:r>
        <w:rPr>
          <w:rFonts w:ascii="方正仿宋_GBK" w:hAnsi="方正仿宋_GBK" w:eastAsia="方正仿宋_GBK" w:cs="方正仿宋_GBK"/>
          <w:color w:val="000000"/>
        </w:rPr>
        <w:t>注：同一采购目录序号的物品，其单价会因配置规格不同而变动，均符合资产配置标准。涉密采购事项按照相关规定执行。</w:t>
      </w:r>
    </w:p>
    <w:p>
      <w:pPr>
        <w:spacing w:line="500" w:lineRule="exact"/>
        <w:ind w:firstLine="420"/>
        <w:rPr>
          <w:rFonts w:ascii="Times New Roman" w:hAnsi="Times New Roman" w:eastAsia="黑体" w:cs="Times New Roman"/>
          <w:sz w:val="32"/>
          <w:szCs w:val="32"/>
        </w:rPr>
      </w:pPr>
      <w:r>
        <w:rPr>
          <w:rFonts w:ascii="Times New Roman" w:hAnsi="黑体" w:eastAsia="黑体" w:cs="Times New Roman"/>
          <w:sz w:val="32"/>
          <w:szCs w:val="32"/>
        </w:rPr>
        <w:t>七、国有资产信息</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永清县</w:t>
      </w:r>
      <w:r>
        <w:rPr>
          <w:rFonts w:hint="eastAsia" w:ascii="Times New Roman" w:hAnsi="Times New Roman" w:eastAsia="仿宋_GB2312" w:cs="Times New Roman"/>
          <w:sz w:val="32"/>
          <w:szCs w:val="32"/>
          <w:lang w:eastAsia="zh-CN"/>
        </w:rPr>
        <w:t>档案馆</w:t>
      </w:r>
      <w:r>
        <w:rPr>
          <w:rFonts w:ascii="Times New Roman" w:hAnsi="Times New Roman" w:eastAsia="仿宋_GB2312" w:cs="Times New Roman"/>
          <w:sz w:val="32"/>
          <w:szCs w:val="32"/>
        </w:rPr>
        <w:t>上年末固定资产金额为</w:t>
      </w:r>
      <w:r>
        <w:rPr>
          <w:rFonts w:hint="eastAsia" w:ascii="Times New Roman" w:hAnsi="Times New Roman" w:eastAsia="仿宋_GB2312" w:cs="Times New Roman"/>
          <w:sz w:val="32"/>
          <w:szCs w:val="32"/>
          <w:lang w:val="en-US" w:eastAsia="zh-CN"/>
        </w:rPr>
        <w:t>56.27</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（详见下表）</w:t>
      </w:r>
      <w:r>
        <w:rPr>
          <w:rFonts w:ascii="Times New Roman" w:hAnsi="Times New Roman" w:eastAsia="仿宋_GB2312" w:cs="Times New Roman"/>
          <w:sz w:val="32"/>
          <w:szCs w:val="32"/>
        </w:rPr>
        <w:t>，本年度我部门拟购置固定资产</w:t>
      </w:r>
      <w:r>
        <w:rPr>
          <w:rFonts w:hint="eastAsia" w:ascii="Times New Roman" w:hAnsi="Times New Roman" w:eastAsia="仿宋_GB2312" w:cs="Times New Roman"/>
          <w:sz w:val="32"/>
          <w:szCs w:val="32"/>
        </w:rPr>
        <w:t>总额为</w:t>
      </w:r>
      <w:r>
        <w:rPr>
          <w:rFonts w:hint="eastAsia" w:ascii="Times New Roman" w:hAnsi="Times New Roman" w:eastAsia="仿宋_GB2312" w:cs="Times New Roman"/>
          <w:sz w:val="32"/>
          <w:szCs w:val="32"/>
          <w:lang w:val="en-US" w:eastAsia="zh-CN"/>
        </w:rPr>
        <w:t>0</w:t>
      </w:r>
      <w:r>
        <w:rPr>
          <w:rFonts w:hint="eastAsia" w:ascii="Times New Roman" w:hAnsi="Times New Roman" w:eastAsia="仿宋_GB2312" w:cs="Times New Roman"/>
          <w:sz w:val="32"/>
          <w:szCs w:val="32"/>
        </w:rPr>
        <w:t>万元，</w:t>
      </w:r>
      <w:r>
        <w:rPr>
          <w:rFonts w:hint="eastAsia" w:ascii="Times New Roman" w:hAnsi="Times New Roman" w:eastAsia="仿宋_GB2312" w:cs="Times New Roman"/>
          <w:sz w:val="32"/>
          <w:szCs w:val="32"/>
          <w:lang w:eastAsia="zh-CN"/>
        </w:rPr>
        <w:t>无拟购置固定资产</w:t>
      </w:r>
      <w:r>
        <w:rPr>
          <w:rFonts w:ascii="Times New Roman" w:hAnsi="Times New Roman" w:eastAsia="仿宋_GB2312" w:cs="Times New Roman"/>
          <w:sz w:val="32"/>
          <w:szCs w:val="32"/>
        </w:rPr>
        <w:t>。</w:t>
      </w:r>
    </w:p>
    <w:p>
      <w:pPr>
        <w:spacing w:line="584" w:lineRule="exact"/>
        <w:ind w:firstLine="640"/>
        <w:rPr>
          <w:rFonts w:ascii="Times New Roman" w:hAnsi="Times New Roman" w:eastAsia="仿宋_GB2312" w:cs="Times New Roman"/>
          <w:sz w:val="32"/>
          <w:szCs w:val="32"/>
        </w:rPr>
      </w:pPr>
    </w:p>
    <w:tbl>
      <w:tblPr>
        <w:tblStyle w:val="8"/>
        <w:tblW w:w="13325" w:type="dxa"/>
        <w:tblInd w:w="93" w:type="dxa"/>
        <w:tblLayout w:type="autofit"/>
        <w:tblCellMar>
          <w:top w:w="0" w:type="dxa"/>
          <w:left w:w="108" w:type="dxa"/>
          <w:bottom w:w="0" w:type="dxa"/>
          <w:right w:w="108" w:type="dxa"/>
        </w:tblCellMar>
      </w:tblPr>
      <w:tblGrid>
        <w:gridCol w:w="5224"/>
        <w:gridCol w:w="3155"/>
        <w:gridCol w:w="5103"/>
      </w:tblGrid>
      <w:tr>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shd w:val="clear" w:color="auto" w:fill="auto"/>
            <w:noWrap/>
            <w:vAlign w:val="center"/>
          </w:tcPr>
          <w:p>
            <w:pPr>
              <w:widowControl/>
              <w:spacing w:line="584"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永清县县直部门固定资产占用情况表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shd w:val="clear" w:color="auto" w:fill="auto"/>
            <w:noWrap/>
            <w:vAlign w:val="center"/>
          </w:tcPr>
          <w:p>
            <w:pPr>
              <w:widowControl/>
              <w:spacing w:line="584" w:lineRule="exact"/>
              <w:jc w:val="left"/>
              <w:rPr>
                <w:rFonts w:hint="eastAsia" w:ascii="Times New Roman" w:hAnsi="Times New Roman" w:eastAsia="仿宋_GB2312" w:cs="Times New Roman"/>
                <w:kern w:val="0"/>
                <w:sz w:val="22"/>
                <w:lang w:eastAsia="zh-CN"/>
              </w:rPr>
            </w:pPr>
            <w:r>
              <w:rPr>
                <w:rFonts w:ascii="Times New Roman" w:hAnsi="Times New Roman" w:eastAsia="仿宋_GB2312" w:cs="Times New Roman"/>
                <w:kern w:val="0"/>
                <w:sz w:val="22"/>
              </w:rPr>
              <w:t>编制部门：永清县</w:t>
            </w:r>
            <w:r>
              <w:rPr>
                <w:rFonts w:hint="eastAsia" w:ascii="Times New Roman" w:hAnsi="Times New Roman" w:eastAsia="仿宋_GB2312" w:cs="Times New Roman"/>
                <w:kern w:val="0"/>
                <w:sz w:val="22"/>
                <w:lang w:eastAsia="zh-CN"/>
              </w:rPr>
              <w:t>档案馆</w:t>
            </w:r>
          </w:p>
        </w:tc>
        <w:tc>
          <w:tcPr>
            <w:tcW w:w="5103" w:type="dxa"/>
            <w:tcBorders>
              <w:top w:val="nil"/>
              <w:left w:val="nil"/>
              <w:bottom w:val="nil"/>
              <w:right w:val="nil"/>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截止时间：20</w:t>
            </w:r>
            <w:r>
              <w:rPr>
                <w:rFonts w:hint="eastAsia" w:ascii="Times New Roman" w:hAnsi="Times New Roman" w:eastAsia="仿宋_GB2312" w:cs="Times New Roman"/>
                <w:kern w:val="0"/>
                <w:sz w:val="22"/>
              </w:rPr>
              <w:t>2</w:t>
            </w:r>
            <w:r>
              <w:rPr>
                <w:rFonts w:ascii="Times New Roman" w:hAnsi="Times New Roman" w:eastAsia="仿宋_GB2312" w:cs="Times New Roman"/>
                <w:kern w:val="0"/>
                <w:sz w:val="22"/>
              </w:rPr>
              <w:t>2年12月31日</w:t>
            </w:r>
          </w:p>
        </w:tc>
      </w:tr>
      <w:tr>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项目</w:t>
            </w:r>
          </w:p>
        </w:tc>
        <w:tc>
          <w:tcPr>
            <w:tcW w:w="3155"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价值（金额单位：万元）</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56.27</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1、房屋（平方米）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2、车辆（台、辆）</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2.4</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3、单价在20万元以上的设备</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4、其他固定资产</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53.87</w:t>
            </w:r>
          </w:p>
        </w:tc>
      </w:tr>
    </w:tbl>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八、名词解释</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1、一般公共预算拨款收入：</w:t>
      </w:r>
      <w:r>
        <w:rPr>
          <w:rFonts w:ascii="Times New Roman" w:hAnsi="Times New Roman" w:eastAsia="仿宋_GB2312" w:cs="Times New Roman"/>
          <w:sz w:val="32"/>
          <w:szCs w:val="32"/>
        </w:rPr>
        <w:t>指</w:t>
      </w:r>
      <w:r>
        <w:rPr>
          <w:rFonts w:hint="eastAsia" w:ascii="Times New Roman" w:hAnsi="Times New Roman" w:eastAsia="仿宋_GB2312" w:cs="Times New Roman"/>
          <w:sz w:val="32"/>
          <w:szCs w:val="32"/>
        </w:rPr>
        <w:t>县级</w:t>
      </w:r>
      <w:r>
        <w:rPr>
          <w:rFonts w:ascii="Times New Roman" w:hAnsi="Times New Roman" w:eastAsia="仿宋_GB2312" w:cs="Times New Roman"/>
          <w:sz w:val="32"/>
          <w:szCs w:val="32"/>
        </w:rPr>
        <w:t>财政当年拨付的资金。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2、事业收入：</w:t>
      </w:r>
      <w:r>
        <w:rPr>
          <w:rFonts w:ascii="Times New Roman" w:hAnsi="Times New Roman" w:eastAsia="仿宋_GB2312" w:cs="Times New Roman"/>
          <w:sz w:val="32"/>
          <w:szCs w:val="32"/>
        </w:rPr>
        <w:t>指事业单位开展专业业务活动及辅助活动所取得的收入。</w:t>
      </w:r>
    </w:p>
    <w:p>
      <w:pPr>
        <w:tabs>
          <w:tab w:val="left" w:pos="11490"/>
        </w:tabs>
        <w:spacing w:line="584" w:lineRule="exact"/>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3、其他收入：</w:t>
      </w:r>
      <w:r>
        <w:rPr>
          <w:rFonts w:ascii="Times New Roman" w:hAnsi="Times New Roman" w:eastAsia="仿宋_GB2312" w:cs="Times New Roman"/>
          <w:sz w:val="32"/>
          <w:szCs w:val="32"/>
        </w:rPr>
        <w:t>指除“一般公共预算拨款收入”、“事业收入”等以外的收入。主要是按规定动用的租房收入、存款利息收入等。</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4、基本支出：</w:t>
      </w:r>
      <w:r>
        <w:rPr>
          <w:rFonts w:ascii="Times New Roman" w:hAnsi="Times New Roman" w:eastAsia="仿宋_GB2312" w:cs="Times New Roman"/>
          <w:sz w:val="32"/>
          <w:szCs w:val="32"/>
        </w:rPr>
        <w:t>指为保障机构正常运转、完成日常工作任务而发生的人员支出和公用支出。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5、项目支出：</w:t>
      </w:r>
      <w:r>
        <w:rPr>
          <w:rFonts w:ascii="Times New Roman" w:hAnsi="Times New Roman" w:eastAsia="仿宋_GB2312" w:cs="Times New Roman"/>
          <w:sz w:val="32"/>
          <w:szCs w:val="32"/>
        </w:rPr>
        <w:t>指在基本支出之外为完成特定行政任务和事业发展目标所发生的支出。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6、上缴上级支出：</w:t>
      </w:r>
      <w:r>
        <w:rPr>
          <w:rFonts w:ascii="Times New Roman" w:hAnsi="Times New Roman" w:eastAsia="仿宋_GB2312" w:cs="Times New Roman"/>
          <w:sz w:val="32"/>
          <w:szCs w:val="32"/>
        </w:rPr>
        <w:t>指下级单位上缴上级的支出。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7、“三公”经费：</w:t>
      </w:r>
      <w:r>
        <w:rPr>
          <w:rFonts w:ascii="Times New Roman" w:hAnsi="Times New Roman" w:eastAsia="仿宋_GB2312" w:cs="Times New Roman"/>
          <w:sz w:val="32"/>
          <w:szCs w:val="32"/>
        </w:rPr>
        <w:t>纳入</w:t>
      </w:r>
      <w:r>
        <w:rPr>
          <w:rFonts w:hint="eastAsia" w:ascii="Times New Roman" w:hAnsi="Times New Roman" w:eastAsia="仿宋_GB2312" w:cs="Times New Roman"/>
          <w:sz w:val="32"/>
          <w:szCs w:val="32"/>
        </w:rPr>
        <w:t>县级</w:t>
      </w:r>
      <w:r>
        <w:rPr>
          <w:rFonts w:ascii="Times New Roman" w:hAnsi="Times New Roman" w:eastAsia="仿宋_GB2312" w:cs="Times New Roman"/>
          <w:sz w:val="32"/>
          <w:szCs w:val="32"/>
        </w:rPr>
        <w:t>财政预算管理的“三公”经费，是指</w:t>
      </w:r>
      <w:r>
        <w:rPr>
          <w:rFonts w:hint="eastAsia" w:ascii="Times New Roman" w:hAnsi="Times New Roman" w:eastAsia="仿宋_GB2312" w:cs="Times New Roman"/>
          <w:sz w:val="32"/>
          <w:szCs w:val="32"/>
        </w:rPr>
        <w:t>县级</w:t>
      </w:r>
      <w:r>
        <w:rPr>
          <w:rFonts w:ascii="Times New Roman" w:hAnsi="Times New Roman" w:eastAsia="仿宋_GB2312" w:cs="Times New Roman"/>
          <w:sz w:val="32"/>
          <w:szCs w:val="32"/>
        </w:rPr>
        <w:t>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8、机关运行费：</w:t>
      </w:r>
      <w:r>
        <w:rPr>
          <w:rFonts w:ascii="Times New Roman" w:hAnsi="Times New Roman" w:eastAsia="仿宋_GB2312"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9、上年结转：</w:t>
      </w:r>
      <w:r>
        <w:rPr>
          <w:rFonts w:ascii="Times New Roman" w:hAnsi="Times New Roman" w:eastAsia="仿宋_GB2312" w:cs="Times New Roman"/>
          <w:sz w:val="32"/>
          <w:szCs w:val="32"/>
        </w:rPr>
        <w:t>指以前年度尚未完成、结转到本年仍按原规定用途继续使用的资金。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10、事业单位经营支出：</w:t>
      </w:r>
      <w:r>
        <w:rPr>
          <w:rFonts w:ascii="Times New Roman" w:hAnsi="Times New Roman" w:eastAsia="仿宋_GB2312" w:cs="Times New Roman"/>
          <w:sz w:val="32"/>
          <w:szCs w:val="32"/>
        </w:rPr>
        <w:t>指事业单位在专业业务活动及其辅助活动之外开展非独立核算经营活动发生的支出。</w:t>
      </w: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九、其他需要说明的事项</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我部门无其他需要说明的事项。</w:t>
      </w:r>
    </w:p>
    <w:p>
      <w:pPr>
        <w:spacing w:line="584" w:lineRule="exact"/>
        <w:ind w:firstLine="640" w:firstLineChars="200"/>
        <w:rPr>
          <w:rFonts w:ascii="Times New Roman" w:hAnsi="Times New Roman" w:eastAsia="仿宋_GB2312" w:cs="Times New Roman"/>
          <w:sz w:val="32"/>
          <w:szCs w:val="32"/>
        </w:rPr>
      </w:pPr>
    </w:p>
    <w:p>
      <w:pPr>
        <w:spacing w:line="584" w:lineRule="exact"/>
        <w:ind w:firstLine="643" w:firstLineChars="200"/>
        <w:rPr>
          <w:rFonts w:ascii="Times New Roman" w:hAnsi="Times New Roman" w:eastAsia="仿宋_GB2312" w:cs="Times New Roman"/>
          <w:b/>
          <w:color w:val="FF0000"/>
          <w:sz w:val="32"/>
          <w:szCs w:val="32"/>
        </w:rPr>
      </w:pPr>
    </w:p>
    <w:sectPr>
      <w:footerReference r:id="rId4" w:type="default"/>
      <w:pgSz w:w="16838" w:h="11906" w:orient="landscape"/>
      <w:pgMar w:top="1800" w:right="1440" w:bottom="1800" w:left="144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书宋_GBK">
    <w:altName w:val="微软雅黑"/>
    <w:panose1 w:val="00000000000000000000"/>
    <w:charset w:val="86"/>
    <w:family w:val="roman"/>
    <w:pitch w:val="default"/>
    <w:sig w:usb0="00000000" w:usb1="00000000" w:usb2="00000000" w:usb3="00000000" w:csb0="00000000"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方正仿宋_GBK">
    <w:altName w:val="微软雅黑"/>
    <w:panose1 w:val="00000000000000000000"/>
    <w:charset w:val="86"/>
    <w:family w:val="script"/>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10"/>
      </w:rPr>
    </w:pPr>
    <w:r>
      <w:fldChar w:fldCharType="begin"/>
    </w:r>
    <w:r>
      <w:rPr>
        <w:rStyle w:val="10"/>
      </w:rPr>
      <w:instrText xml:space="preserve"> PAGE </w:instrText>
    </w:r>
    <w:r>
      <w:fldChar w:fldCharType="separate"/>
    </w:r>
    <w:r>
      <w:rPr>
        <w:rStyle w:val="10"/>
      </w:rPr>
      <w:t>7</w:t>
    </w:r>
    <w:r>
      <w:fldChar w:fldCharType="end"/>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04349198"/>
      <w:docPartObj>
        <w:docPartGallery w:val="autotext"/>
      </w:docPartObj>
    </w:sdtPr>
    <w:sdtContent>
      <w:p>
        <w:pPr>
          <w:pStyle w:val="3"/>
          <w:jc w:val="center"/>
        </w:pPr>
        <w:r>
          <w:rPr>
            <w:rFonts w:hint="eastAsia"/>
          </w:rPr>
          <w:t>-</w:t>
        </w:r>
        <w:r>
          <w:fldChar w:fldCharType="begin"/>
        </w:r>
        <w:r>
          <w:instrText xml:space="preserve">PAGE   \* MERGEFORMAT</w:instrText>
        </w:r>
        <w:r>
          <w:fldChar w:fldCharType="separate"/>
        </w:r>
        <w:r>
          <w:rPr>
            <w:lang w:val="zh-CN"/>
          </w:rPr>
          <w:t>2</w:t>
        </w:r>
        <w:r>
          <w:rPr>
            <w:lang w:val="zh-CN"/>
          </w:rPr>
          <w:fldChar w:fldCharType="end"/>
        </w:r>
        <w:r>
          <w:rPr>
            <w:rFonts w:hint="eastAsia"/>
          </w:rPr>
          <w:t>-</w:t>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RkYWYyN2YxMTE4OTY2MjhkOWE3ZjA0OWViY2I5M2YifQ=="/>
  </w:docVars>
  <w:rsids>
    <w:rsidRoot w:val="00F66032"/>
    <w:rsid w:val="000053CC"/>
    <w:rsid w:val="00005DD8"/>
    <w:rsid w:val="00007292"/>
    <w:rsid w:val="00007A31"/>
    <w:rsid w:val="0002784C"/>
    <w:rsid w:val="0003697D"/>
    <w:rsid w:val="00037AF6"/>
    <w:rsid w:val="0004565F"/>
    <w:rsid w:val="00072187"/>
    <w:rsid w:val="00075D5F"/>
    <w:rsid w:val="0008180F"/>
    <w:rsid w:val="00082B29"/>
    <w:rsid w:val="00093DA3"/>
    <w:rsid w:val="000B529B"/>
    <w:rsid w:val="000C1A24"/>
    <w:rsid w:val="000C2338"/>
    <w:rsid w:val="000C24E6"/>
    <w:rsid w:val="000C3A19"/>
    <w:rsid w:val="000D0983"/>
    <w:rsid w:val="000D49F2"/>
    <w:rsid w:val="000E4305"/>
    <w:rsid w:val="000F0D09"/>
    <w:rsid w:val="00123A3A"/>
    <w:rsid w:val="001245BB"/>
    <w:rsid w:val="001251A3"/>
    <w:rsid w:val="00137B51"/>
    <w:rsid w:val="00143193"/>
    <w:rsid w:val="001601F9"/>
    <w:rsid w:val="00160266"/>
    <w:rsid w:val="001643E8"/>
    <w:rsid w:val="00164641"/>
    <w:rsid w:val="00164B40"/>
    <w:rsid w:val="00176C13"/>
    <w:rsid w:val="00183D1E"/>
    <w:rsid w:val="00184961"/>
    <w:rsid w:val="001919C4"/>
    <w:rsid w:val="0019412A"/>
    <w:rsid w:val="0019723B"/>
    <w:rsid w:val="001A0943"/>
    <w:rsid w:val="001A3D44"/>
    <w:rsid w:val="001B5C1D"/>
    <w:rsid w:val="001B614C"/>
    <w:rsid w:val="001C2B2C"/>
    <w:rsid w:val="001C3B5E"/>
    <w:rsid w:val="001D42E8"/>
    <w:rsid w:val="001E0757"/>
    <w:rsid w:val="001E5749"/>
    <w:rsid w:val="001E6DDC"/>
    <w:rsid w:val="001E70E9"/>
    <w:rsid w:val="001F5C92"/>
    <w:rsid w:val="001F7873"/>
    <w:rsid w:val="00204F37"/>
    <w:rsid w:val="00230E48"/>
    <w:rsid w:val="00241FD4"/>
    <w:rsid w:val="00246317"/>
    <w:rsid w:val="00251B12"/>
    <w:rsid w:val="00265318"/>
    <w:rsid w:val="00277452"/>
    <w:rsid w:val="002835D7"/>
    <w:rsid w:val="00290B45"/>
    <w:rsid w:val="00290FD6"/>
    <w:rsid w:val="0029588E"/>
    <w:rsid w:val="00296113"/>
    <w:rsid w:val="002A673A"/>
    <w:rsid w:val="002C29A3"/>
    <w:rsid w:val="002C5E13"/>
    <w:rsid w:val="002C623A"/>
    <w:rsid w:val="002C62BC"/>
    <w:rsid w:val="002D3C5F"/>
    <w:rsid w:val="002E0EB8"/>
    <w:rsid w:val="002E4C60"/>
    <w:rsid w:val="002F3A53"/>
    <w:rsid w:val="002F3E58"/>
    <w:rsid w:val="0030542C"/>
    <w:rsid w:val="003075D4"/>
    <w:rsid w:val="00311B7A"/>
    <w:rsid w:val="003126B6"/>
    <w:rsid w:val="00313D9C"/>
    <w:rsid w:val="00314231"/>
    <w:rsid w:val="00325215"/>
    <w:rsid w:val="0033339C"/>
    <w:rsid w:val="0036386B"/>
    <w:rsid w:val="00371FDA"/>
    <w:rsid w:val="0039520A"/>
    <w:rsid w:val="003B6D37"/>
    <w:rsid w:val="003D2708"/>
    <w:rsid w:val="003D2C2F"/>
    <w:rsid w:val="003D2E03"/>
    <w:rsid w:val="00415C0E"/>
    <w:rsid w:val="00424943"/>
    <w:rsid w:val="00426A46"/>
    <w:rsid w:val="0042727E"/>
    <w:rsid w:val="0043175C"/>
    <w:rsid w:val="00437296"/>
    <w:rsid w:val="00451590"/>
    <w:rsid w:val="00451871"/>
    <w:rsid w:val="004706DE"/>
    <w:rsid w:val="00472923"/>
    <w:rsid w:val="00486DCD"/>
    <w:rsid w:val="0049120C"/>
    <w:rsid w:val="004B0C3A"/>
    <w:rsid w:val="004B12F3"/>
    <w:rsid w:val="004B45C1"/>
    <w:rsid w:val="004C49A8"/>
    <w:rsid w:val="004D0AD1"/>
    <w:rsid w:val="004D5788"/>
    <w:rsid w:val="004E15AE"/>
    <w:rsid w:val="004E3066"/>
    <w:rsid w:val="004E419C"/>
    <w:rsid w:val="004E581C"/>
    <w:rsid w:val="004E74CD"/>
    <w:rsid w:val="00517C46"/>
    <w:rsid w:val="00524EFD"/>
    <w:rsid w:val="00527CD9"/>
    <w:rsid w:val="00572067"/>
    <w:rsid w:val="00573562"/>
    <w:rsid w:val="00573966"/>
    <w:rsid w:val="0057546C"/>
    <w:rsid w:val="00590ECE"/>
    <w:rsid w:val="00591534"/>
    <w:rsid w:val="005A32B6"/>
    <w:rsid w:val="005B041A"/>
    <w:rsid w:val="005C0E90"/>
    <w:rsid w:val="005D37CA"/>
    <w:rsid w:val="005D5683"/>
    <w:rsid w:val="005F5714"/>
    <w:rsid w:val="005F7AE1"/>
    <w:rsid w:val="00611D03"/>
    <w:rsid w:val="00614A29"/>
    <w:rsid w:val="00616FCE"/>
    <w:rsid w:val="006465EA"/>
    <w:rsid w:val="00651BA2"/>
    <w:rsid w:val="00672D6C"/>
    <w:rsid w:val="00673D76"/>
    <w:rsid w:val="006750E7"/>
    <w:rsid w:val="00677AC3"/>
    <w:rsid w:val="006854F0"/>
    <w:rsid w:val="006B1C4A"/>
    <w:rsid w:val="006B610D"/>
    <w:rsid w:val="006C3E06"/>
    <w:rsid w:val="006C7381"/>
    <w:rsid w:val="006D0030"/>
    <w:rsid w:val="006D010F"/>
    <w:rsid w:val="006E49F5"/>
    <w:rsid w:val="006F66C9"/>
    <w:rsid w:val="006F74B7"/>
    <w:rsid w:val="007013C8"/>
    <w:rsid w:val="00716BFB"/>
    <w:rsid w:val="00727C84"/>
    <w:rsid w:val="00740BB2"/>
    <w:rsid w:val="0074338E"/>
    <w:rsid w:val="00753836"/>
    <w:rsid w:val="0075393C"/>
    <w:rsid w:val="00754592"/>
    <w:rsid w:val="00776C08"/>
    <w:rsid w:val="00785B0E"/>
    <w:rsid w:val="007A2763"/>
    <w:rsid w:val="007A40EB"/>
    <w:rsid w:val="007B0400"/>
    <w:rsid w:val="007B49AA"/>
    <w:rsid w:val="007B5167"/>
    <w:rsid w:val="007C219A"/>
    <w:rsid w:val="007C5EA6"/>
    <w:rsid w:val="007E1DA8"/>
    <w:rsid w:val="007E2167"/>
    <w:rsid w:val="007E5E50"/>
    <w:rsid w:val="007E5EC5"/>
    <w:rsid w:val="007F1335"/>
    <w:rsid w:val="007F2A37"/>
    <w:rsid w:val="007F3BE7"/>
    <w:rsid w:val="007F6C26"/>
    <w:rsid w:val="00800F72"/>
    <w:rsid w:val="00806294"/>
    <w:rsid w:val="00811795"/>
    <w:rsid w:val="00813208"/>
    <w:rsid w:val="00815157"/>
    <w:rsid w:val="00815F8F"/>
    <w:rsid w:val="008219E1"/>
    <w:rsid w:val="0083348E"/>
    <w:rsid w:val="008334AE"/>
    <w:rsid w:val="00835573"/>
    <w:rsid w:val="00836FED"/>
    <w:rsid w:val="0083724E"/>
    <w:rsid w:val="00841D53"/>
    <w:rsid w:val="00845CD2"/>
    <w:rsid w:val="00852B0D"/>
    <w:rsid w:val="0085425A"/>
    <w:rsid w:val="0085679A"/>
    <w:rsid w:val="0085726E"/>
    <w:rsid w:val="008575E3"/>
    <w:rsid w:val="008616F6"/>
    <w:rsid w:val="00864B7F"/>
    <w:rsid w:val="00876FFF"/>
    <w:rsid w:val="00881692"/>
    <w:rsid w:val="008858FF"/>
    <w:rsid w:val="0089075B"/>
    <w:rsid w:val="008A62DA"/>
    <w:rsid w:val="008A6576"/>
    <w:rsid w:val="008A6D3B"/>
    <w:rsid w:val="008B08D9"/>
    <w:rsid w:val="008B3CC5"/>
    <w:rsid w:val="008B52CD"/>
    <w:rsid w:val="008C4AAE"/>
    <w:rsid w:val="008C7C4D"/>
    <w:rsid w:val="008E0AD8"/>
    <w:rsid w:val="008E4261"/>
    <w:rsid w:val="008E70D4"/>
    <w:rsid w:val="008F4662"/>
    <w:rsid w:val="0090563F"/>
    <w:rsid w:val="00905D08"/>
    <w:rsid w:val="009161E4"/>
    <w:rsid w:val="009166B4"/>
    <w:rsid w:val="00923F0E"/>
    <w:rsid w:val="00925753"/>
    <w:rsid w:val="00936DDD"/>
    <w:rsid w:val="00937F8B"/>
    <w:rsid w:val="009425F4"/>
    <w:rsid w:val="00943BD8"/>
    <w:rsid w:val="00950961"/>
    <w:rsid w:val="009545BB"/>
    <w:rsid w:val="00954B2C"/>
    <w:rsid w:val="0096626E"/>
    <w:rsid w:val="00966C5C"/>
    <w:rsid w:val="00973104"/>
    <w:rsid w:val="009750F8"/>
    <w:rsid w:val="009842F6"/>
    <w:rsid w:val="00995BF0"/>
    <w:rsid w:val="009A16D5"/>
    <w:rsid w:val="009A353D"/>
    <w:rsid w:val="009B0B77"/>
    <w:rsid w:val="009B511E"/>
    <w:rsid w:val="009B5215"/>
    <w:rsid w:val="009C6C86"/>
    <w:rsid w:val="009D37D3"/>
    <w:rsid w:val="00A16E6C"/>
    <w:rsid w:val="00A40F60"/>
    <w:rsid w:val="00A44E3D"/>
    <w:rsid w:val="00A45598"/>
    <w:rsid w:val="00A72D2E"/>
    <w:rsid w:val="00A74447"/>
    <w:rsid w:val="00A74CE5"/>
    <w:rsid w:val="00A77500"/>
    <w:rsid w:val="00A8536F"/>
    <w:rsid w:val="00A911E7"/>
    <w:rsid w:val="00A92170"/>
    <w:rsid w:val="00A939D9"/>
    <w:rsid w:val="00AB77AA"/>
    <w:rsid w:val="00AC1794"/>
    <w:rsid w:val="00AC4748"/>
    <w:rsid w:val="00AD5259"/>
    <w:rsid w:val="00AE1A02"/>
    <w:rsid w:val="00B01D36"/>
    <w:rsid w:val="00B02FF0"/>
    <w:rsid w:val="00B078CD"/>
    <w:rsid w:val="00B20712"/>
    <w:rsid w:val="00B43238"/>
    <w:rsid w:val="00B45DD3"/>
    <w:rsid w:val="00B46538"/>
    <w:rsid w:val="00B54B90"/>
    <w:rsid w:val="00B64FA8"/>
    <w:rsid w:val="00B73582"/>
    <w:rsid w:val="00B75216"/>
    <w:rsid w:val="00B755A2"/>
    <w:rsid w:val="00B75C1E"/>
    <w:rsid w:val="00B9104C"/>
    <w:rsid w:val="00B91D52"/>
    <w:rsid w:val="00B9490F"/>
    <w:rsid w:val="00BA0016"/>
    <w:rsid w:val="00BA1ACD"/>
    <w:rsid w:val="00BD09F8"/>
    <w:rsid w:val="00BD7278"/>
    <w:rsid w:val="00BE2395"/>
    <w:rsid w:val="00BF2D2F"/>
    <w:rsid w:val="00C005B2"/>
    <w:rsid w:val="00C1565C"/>
    <w:rsid w:val="00C21E0F"/>
    <w:rsid w:val="00C362CA"/>
    <w:rsid w:val="00C40286"/>
    <w:rsid w:val="00C56BB2"/>
    <w:rsid w:val="00C649A9"/>
    <w:rsid w:val="00C772C1"/>
    <w:rsid w:val="00C77976"/>
    <w:rsid w:val="00CA7176"/>
    <w:rsid w:val="00CC75B0"/>
    <w:rsid w:val="00CD2773"/>
    <w:rsid w:val="00CD3C04"/>
    <w:rsid w:val="00CD4188"/>
    <w:rsid w:val="00CD52C7"/>
    <w:rsid w:val="00CE01BA"/>
    <w:rsid w:val="00CE143B"/>
    <w:rsid w:val="00CE3A91"/>
    <w:rsid w:val="00D00653"/>
    <w:rsid w:val="00D07DBA"/>
    <w:rsid w:val="00D23C16"/>
    <w:rsid w:val="00D27003"/>
    <w:rsid w:val="00D270FD"/>
    <w:rsid w:val="00D324AD"/>
    <w:rsid w:val="00D56115"/>
    <w:rsid w:val="00D86ED8"/>
    <w:rsid w:val="00D926D0"/>
    <w:rsid w:val="00D9307A"/>
    <w:rsid w:val="00D95B8B"/>
    <w:rsid w:val="00DB08DA"/>
    <w:rsid w:val="00DB4322"/>
    <w:rsid w:val="00DD1D0C"/>
    <w:rsid w:val="00DD62E6"/>
    <w:rsid w:val="00DE186D"/>
    <w:rsid w:val="00DE4AC2"/>
    <w:rsid w:val="00E0381D"/>
    <w:rsid w:val="00E167C7"/>
    <w:rsid w:val="00E55B78"/>
    <w:rsid w:val="00E66527"/>
    <w:rsid w:val="00E74313"/>
    <w:rsid w:val="00E76361"/>
    <w:rsid w:val="00E84020"/>
    <w:rsid w:val="00EB53A2"/>
    <w:rsid w:val="00EB7A80"/>
    <w:rsid w:val="00EC17CA"/>
    <w:rsid w:val="00EC47F6"/>
    <w:rsid w:val="00EC797B"/>
    <w:rsid w:val="00ED0C47"/>
    <w:rsid w:val="00EE6D6D"/>
    <w:rsid w:val="00EF08C9"/>
    <w:rsid w:val="00EF535E"/>
    <w:rsid w:val="00F10A48"/>
    <w:rsid w:val="00F15CD2"/>
    <w:rsid w:val="00F22ECF"/>
    <w:rsid w:val="00F36922"/>
    <w:rsid w:val="00F471F7"/>
    <w:rsid w:val="00F47C8F"/>
    <w:rsid w:val="00F52717"/>
    <w:rsid w:val="00F66032"/>
    <w:rsid w:val="00F83B96"/>
    <w:rsid w:val="00F8441D"/>
    <w:rsid w:val="00F87C1E"/>
    <w:rsid w:val="00F9078A"/>
    <w:rsid w:val="00F958C2"/>
    <w:rsid w:val="00FA6FE9"/>
    <w:rsid w:val="00FA740E"/>
    <w:rsid w:val="00FC06C7"/>
    <w:rsid w:val="00FD5DB4"/>
    <w:rsid w:val="00FE1724"/>
    <w:rsid w:val="00FE375B"/>
    <w:rsid w:val="00FE753C"/>
    <w:rsid w:val="00FF2162"/>
    <w:rsid w:val="00FF2346"/>
    <w:rsid w:val="011834D7"/>
    <w:rsid w:val="01520506"/>
    <w:rsid w:val="062277D8"/>
    <w:rsid w:val="07572B7D"/>
    <w:rsid w:val="0E9655EC"/>
    <w:rsid w:val="0F0F5F19"/>
    <w:rsid w:val="10380BE1"/>
    <w:rsid w:val="10776A03"/>
    <w:rsid w:val="12D126AA"/>
    <w:rsid w:val="13702633"/>
    <w:rsid w:val="1533327F"/>
    <w:rsid w:val="157B75AD"/>
    <w:rsid w:val="164333B5"/>
    <w:rsid w:val="19051C83"/>
    <w:rsid w:val="1B0A2071"/>
    <w:rsid w:val="1D825021"/>
    <w:rsid w:val="1EB6530E"/>
    <w:rsid w:val="1EC3287C"/>
    <w:rsid w:val="20193B0A"/>
    <w:rsid w:val="20C47341"/>
    <w:rsid w:val="24570627"/>
    <w:rsid w:val="24D7443E"/>
    <w:rsid w:val="26F64328"/>
    <w:rsid w:val="27282AA7"/>
    <w:rsid w:val="2AB0164F"/>
    <w:rsid w:val="2BFF0D19"/>
    <w:rsid w:val="2C2E7F22"/>
    <w:rsid w:val="2D983628"/>
    <w:rsid w:val="2F125E19"/>
    <w:rsid w:val="315D3D6B"/>
    <w:rsid w:val="349F2FEC"/>
    <w:rsid w:val="35D94020"/>
    <w:rsid w:val="365027EF"/>
    <w:rsid w:val="39751006"/>
    <w:rsid w:val="39A9360E"/>
    <w:rsid w:val="3A826877"/>
    <w:rsid w:val="3B587AC4"/>
    <w:rsid w:val="3ECD282B"/>
    <w:rsid w:val="40650F99"/>
    <w:rsid w:val="412E2126"/>
    <w:rsid w:val="420E33D3"/>
    <w:rsid w:val="46B56FC9"/>
    <w:rsid w:val="4E047438"/>
    <w:rsid w:val="54071E56"/>
    <w:rsid w:val="5612548B"/>
    <w:rsid w:val="58FB15A0"/>
    <w:rsid w:val="5A133174"/>
    <w:rsid w:val="5A634128"/>
    <w:rsid w:val="5C7565C0"/>
    <w:rsid w:val="5CC06B0D"/>
    <w:rsid w:val="5DB56A80"/>
    <w:rsid w:val="5DF44E4E"/>
    <w:rsid w:val="5F2B1321"/>
    <w:rsid w:val="602718BF"/>
    <w:rsid w:val="61E76E94"/>
    <w:rsid w:val="626331A4"/>
    <w:rsid w:val="63883D2E"/>
    <w:rsid w:val="68280C18"/>
    <w:rsid w:val="6AE271B3"/>
    <w:rsid w:val="6AEF6FEA"/>
    <w:rsid w:val="6BF30DC0"/>
    <w:rsid w:val="6DEC3919"/>
    <w:rsid w:val="6E301113"/>
    <w:rsid w:val="6FBE5DFF"/>
    <w:rsid w:val="6FF13C16"/>
    <w:rsid w:val="7071718D"/>
    <w:rsid w:val="73412411"/>
    <w:rsid w:val="776E12B2"/>
    <w:rsid w:val="777618F7"/>
    <w:rsid w:val="794260A4"/>
    <w:rsid w:val="7B861277"/>
    <w:rsid w:val="7B9D72E6"/>
    <w:rsid w:val="7BB52FA0"/>
    <w:rsid w:val="7E2274A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4"/>
    <w:semiHidden/>
    <w:unhideWhenUsed/>
    <w:qFormat/>
    <w:uiPriority w:val="99"/>
    <w:rPr>
      <w:sz w:val="18"/>
      <w:szCs w:val="18"/>
    </w:rPr>
  </w:style>
  <w:style w:type="paragraph" w:styleId="3">
    <w:name w:val="footer"/>
    <w:basedOn w:val="1"/>
    <w:link w:val="13"/>
    <w:qFormat/>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4">
    <w:name w:val="header"/>
    <w:basedOn w:val="1"/>
    <w:link w:val="12"/>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5">
    <w:name w:val="toc 1"/>
    <w:basedOn w:val="1"/>
    <w:next w:val="1"/>
    <w:qFormat/>
    <w:uiPriority w:val="39"/>
    <w:rPr>
      <w:rFonts w:ascii="Times New Roman" w:hAnsi="Times New Roman" w:eastAsia="宋体" w:cs="Times New Roman"/>
      <w:szCs w:val="24"/>
    </w:rPr>
  </w:style>
  <w:style w:type="paragraph" w:styleId="6">
    <w:name w:val="footnote text"/>
    <w:basedOn w:val="1"/>
    <w:link w:val="16"/>
    <w:semiHidden/>
    <w:unhideWhenUsed/>
    <w:qFormat/>
    <w:uiPriority w:val="99"/>
    <w:pPr>
      <w:snapToGrid w:val="0"/>
      <w:jc w:val="left"/>
    </w:pPr>
    <w:rPr>
      <w:rFonts w:ascii="Calibri" w:hAnsi="Calibri" w:eastAsia="宋体" w:cs="Times New Roman"/>
      <w:sz w:val="18"/>
      <w:szCs w:val="18"/>
    </w:rPr>
  </w:style>
  <w:style w:type="paragraph" w:styleId="7">
    <w:name w:val="toc 2"/>
    <w:basedOn w:val="1"/>
    <w:next w:val="1"/>
    <w:qFormat/>
    <w:uiPriority w:val="39"/>
    <w:pPr>
      <w:ind w:left="420" w:leftChars="200"/>
    </w:pPr>
    <w:rPr>
      <w:rFonts w:ascii="Times New Roman" w:hAnsi="Times New Roman" w:eastAsia="宋体" w:cs="Times New Roman"/>
      <w:szCs w:val="24"/>
    </w:rPr>
  </w:style>
  <w:style w:type="character" w:styleId="10">
    <w:name w:val="page number"/>
    <w:unhideWhenUsed/>
    <w:uiPriority w:val="99"/>
  </w:style>
  <w:style w:type="character" w:styleId="11">
    <w:name w:val="footnote reference"/>
    <w:semiHidden/>
    <w:unhideWhenUsed/>
    <w:qFormat/>
    <w:uiPriority w:val="99"/>
    <w:rPr>
      <w:vertAlign w:val="superscript"/>
    </w:rPr>
  </w:style>
  <w:style w:type="character" w:customStyle="1" w:styleId="12">
    <w:name w:val="页眉 字符"/>
    <w:basedOn w:val="9"/>
    <w:link w:val="4"/>
    <w:qFormat/>
    <w:uiPriority w:val="99"/>
    <w:rPr>
      <w:rFonts w:ascii="Times New Roman" w:hAnsi="Times New Roman" w:eastAsia="宋体" w:cs="Times New Roman"/>
      <w:sz w:val="18"/>
      <w:szCs w:val="18"/>
    </w:rPr>
  </w:style>
  <w:style w:type="character" w:customStyle="1" w:styleId="13">
    <w:name w:val="页脚 字符"/>
    <w:basedOn w:val="9"/>
    <w:link w:val="3"/>
    <w:qFormat/>
    <w:uiPriority w:val="99"/>
    <w:rPr>
      <w:rFonts w:ascii="Times New Roman" w:hAnsi="Times New Roman" w:eastAsia="宋体" w:cs="Times New Roman"/>
      <w:sz w:val="18"/>
      <w:szCs w:val="18"/>
    </w:rPr>
  </w:style>
  <w:style w:type="character" w:customStyle="1" w:styleId="14">
    <w:name w:val="批注框文本 字符"/>
    <w:basedOn w:val="9"/>
    <w:link w:val="2"/>
    <w:semiHidden/>
    <w:qFormat/>
    <w:uiPriority w:val="99"/>
    <w:rPr>
      <w:sz w:val="18"/>
      <w:szCs w:val="18"/>
    </w:rPr>
  </w:style>
  <w:style w:type="paragraph" w:customStyle="1" w:styleId="15">
    <w:name w:val="Default"/>
    <w:uiPriority w:val="0"/>
    <w:pPr>
      <w:widowControl w:val="0"/>
      <w:autoSpaceDE w:val="0"/>
      <w:autoSpaceDN w:val="0"/>
      <w:adjustRightInd w:val="0"/>
    </w:pPr>
    <w:rPr>
      <w:rFonts w:ascii="Times New Roman" w:hAnsi="Times New Roman" w:cs="Times New Roman" w:eastAsiaTheme="minorEastAsia"/>
      <w:color w:val="000000"/>
      <w:kern w:val="0"/>
      <w:sz w:val="24"/>
      <w:szCs w:val="24"/>
      <w:lang w:val="en-US" w:eastAsia="zh-CN" w:bidi="ar-SA"/>
    </w:rPr>
  </w:style>
  <w:style w:type="character" w:customStyle="1" w:styleId="16">
    <w:name w:val="脚注文本 字符"/>
    <w:basedOn w:val="9"/>
    <w:link w:val="6"/>
    <w:semiHidden/>
    <w:qFormat/>
    <w:uiPriority w:val="99"/>
    <w:rPr>
      <w:rFonts w:ascii="Calibri" w:hAnsi="Calibri" w:eastAsia="宋体" w:cs="Times New Roman"/>
      <w:sz w:val="18"/>
      <w:szCs w:val="18"/>
    </w:rPr>
  </w:style>
  <w:style w:type="paragraph" w:customStyle="1" w:styleId="17">
    <w:name w:val="单元格样式1"/>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18">
    <w:name w:val="单元格样式4"/>
    <w:basedOn w:val="1"/>
    <w:qFormat/>
    <w:uiPriority w:val="0"/>
    <w:pPr>
      <w:widowControl/>
      <w:jc w:val="right"/>
    </w:pPr>
    <w:rPr>
      <w:rFonts w:ascii="方正书宋_GBK" w:hAnsi="方正书宋_GBK" w:eastAsia="方正书宋_GBK" w:cs="方正书宋_GBK"/>
      <w:kern w:val="0"/>
      <w:szCs w:val="24"/>
      <w:lang w:eastAsia="uk-UA"/>
    </w:rPr>
  </w:style>
  <w:style w:type="paragraph" w:customStyle="1" w:styleId="19">
    <w:name w:val="单元格样式2"/>
    <w:basedOn w:val="1"/>
    <w:qFormat/>
    <w:uiPriority w:val="0"/>
    <w:pPr>
      <w:widowControl/>
      <w:jc w:val="left"/>
    </w:pPr>
    <w:rPr>
      <w:rFonts w:ascii="方正书宋_GBK" w:hAnsi="方正书宋_GBK" w:eastAsia="方正书宋_GBK" w:cs="方正书宋_GBK"/>
      <w:kern w:val="0"/>
      <w:szCs w:val="24"/>
      <w:lang w:eastAsia="uk-UA"/>
    </w:rPr>
  </w:style>
  <w:style w:type="paragraph" w:customStyle="1" w:styleId="20">
    <w:name w:val="单元格样式3"/>
    <w:basedOn w:val="1"/>
    <w:qFormat/>
    <w:uiPriority w:val="0"/>
    <w:pPr>
      <w:widowControl/>
      <w:jc w:val="center"/>
    </w:pPr>
    <w:rPr>
      <w:rFonts w:ascii="方正书宋_GBK" w:hAnsi="方正书宋_GBK" w:eastAsia="方正书宋_GBK" w:cs="方正书宋_GBK"/>
      <w:kern w:val="0"/>
      <w:szCs w:val="24"/>
      <w:lang w:eastAsia="uk-UA"/>
    </w:rPr>
  </w:style>
  <w:style w:type="paragraph" w:customStyle="1" w:styleId="21">
    <w:name w:val="单元格样式6"/>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22">
    <w:name w:val="单元格样式7"/>
    <w:basedOn w:val="1"/>
    <w:qFormat/>
    <w:uiPriority w:val="0"/>
    <w:pPr>
      <w:widowControl/>
      <w:jc w:val="right"/>
    </w:pPr>
    <w:rPr>
      <w:rFonts w:ascii="方正书宋_GBK" w:hAnsi="方正书宋_GBK" w:eastAsia="方正书宋_GBK" w:cs="方正书宋_GBK"/>
      <w:b/>
      <w:kern w:val="0"/>
      <w:szCs w:val="24"/>
      <w:lang w:eastAsia="uk-UA"/>
    </w:rPr>
  </w:style>
  <w:style w:type="paragraph" w:customStyle="1" w:styleId="23">
    <w:name w:val="单元格样式5"/>
    <w:basedOn w:val="1"/>
    <w:qFormat/>
    <w:uiPriority w:val="0"/>
    <w:pPr>
      <w:widowControl/>
      <w:jc w:val="left"/>
    </w:pPr>
    <w:rPr>
      <w:rFonts w:ascii="方正书宋_GBK" w:hAnsi="方正书宋_GBK" w:eastAsia="方正书宋_GBK" w:cs="方正书宋_GBK"/>
      <w:b/>
      <w:kern w:val="0"/>
      <w:szCs w:val="24"/>
      <w:lang w:eastAsia="uk-U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84BA3-7C5F-4917-A3EB-75C8F65D075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17</Pages>
  <Words>5545</Words>
  <Characters>5792</Characters>
  <Lines>24</Lines>
  <Paragraphs>6</Paragraphs>
  <TotalTime>7</TotalTime>
  <ScaleCrop>false</ScaleCrop>
  <LinksUpToDate>false</LinksUpToDate>
  <CharactersWithSpaces>5973</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2023-02-07T08:07:00Z</dcterms:created>
  <dc:creator>guest</dc:creator>
  <cp:lastModifiedBy>Administrator</cp:lastModifiedBy>
  <cp:lastPrinted>2022-01-26T02:42:00Z</cp:lastPrinted>
  <dcterms:modified xsi:type="dcterms:W3CDTF">2023-04-23T02:44:03Z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273C2589CE6A4671BA5845FF39B3499C</vt:lpwstr>
  </property>
</Properties>
</file>