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header1.xml" ContentType="application/vnd.openxmlformats-officedocument.wordprocessingml.head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spacing w:line="600" w:lineRule="exact"/>
        <w:ind w:firstLineChars="200" w:firstLine="880"/>
        <w:jc w:val="center"/>
        <w:rPr>
          <w:rFonts w:ascii="方正小标宋简体" w:eastAsia="方正小标宋简体"/>
          <w:sz w:val="44"/>
          <w:szCs w:val="44"/>
        </w:rPr>
      </w:pPr>
      <w:r>
        <w:rPr>
          <w:rFonts w:ascii="方正小标宋简体" w:eastAsia="方正小标宋简体" w:hAnsi="宋体" w:hint="eastAsia"/>
          <w:sz w:val="44"/>
          <w:szCs w:val="44"/>
        </w:rPr>
        <w:t>中国共产党永清县纪律检查委员会</w:t>
      </w:r>
    </w:p>
    <w:p>
      <w:pPr>
        <w:spacing w:line="600" w:lineRule="exact"/>
        <w:ind w:firstLineChars="200" w:firstLine="880"/>
        <w:jc w:val="center"/>
        <w:rPr>
          <w:rFonts w:ascii="方正小标宋简体" w:eastAsia="方正小标宋简体"/>
          <w:sz w:val="44"/>
          <w:szCs w:val="44"/>
        </w:rPr>
      </w:pPr>
      <w:r>
        <w:rPr>
          <w:rFonts w:ascii="方正小标宋简体" w:eastAsia="方正小标宋简体" w:hAnsi="宋体" w:hint="eastAsia"/>
          <w:sz w:val="44"/>
          <w:szCs w:val="44"/>
        </w:rPr>
        <w:t>永</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清</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县</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监</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察</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委</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员</w:t>
      </w:r>
      <w:r>
        <w:rPr>
          <w:rFonts w:ascii="方正小标宋简体" w:eastAsia="方正小标宋简体" w:hAnsi="宋体"/>
          <w:sz w:val="44"/>
          <w:szCs w:val="44"/>
        </w:rPr>
        <w:t xml:space="preserve">  </w:t>
      </w:r>
      <w:r>
        <w:rPr>
          <w:rFonts w:ascii="方正小标宋简体" w:eastAsia="方正小标宋简体" w:hAnsi="宋体" w:hint="eastAsia"/>
          <w:sz w:val="44"/>
          <w:szCs w:val="44"/>
        </w:rPr>
        <w:t>会</w:t>
      </w:r>
    </w:p>
    <w:p>
      <w:pPr>
        <w:spacing w:line="600" w:lineRule="exact"/>
        <w:ind w:firstLineChars="200" w:firstLine="880"/>
        <w:jc w:val="center"/>
        <w:rPr>
          <w:rFonts w:ascii="方正小标宋简体" w:eastAsia="方正小标宋简体" w:hint="eastAsia"/>
          <w:sz w:val="44"/>
          <w:szCs w:val="44"/>
          <w:lang w:eastAsia="zh-CN"/>
        </w:rPr>
      </w:pPr>
      <w:r>
        <w:rPr>
          <w:rFonts w:ascii="方正小标宋简体" w:eastAsia="方正小标宋简体" w:hAnsi="宋体"/>
          <w:sz w:val="44"/>
          <w:szCs w:val="44"/>
        </w:rPr>
        <w:t>2019</w:t>
      </w:r>
      <w:r>
        <w:rPr>
          <w:rFonts w:ascii="方正小标宋简体" w:eastAsia="方正小标宋简体" w:hAnsi="宋体" w:hint="eastAsia"/>
          <w:sz w:val="44"/>
          <w:szCs w:val="44"/>
        </w:rPr>
        <w:t>年部门预算信息公开</w:t>
      </w:r>
      <w:r>
        <w:rPr>
          <w:rFonts w:ascii="方正小标宋简体" w:eastAsia="方正小标宋简体" w:hAnsi="宋体" w:hint="eastAsia"/>
          <w:sz w:val="44"/>
          <w:szCs w:val="44"/>
          <w:lang w:eastAsia="zh-CN"/>
        </w:rPr>
        <w:t>情况说明</w:t>
      </w:r>
    </w:p>
    <w:p>
      <w:pPr>
        <w:ind w:firstLineChars="200" w:firstLine="880"/>
        <w:jc w:val="center"/>
        <w:rPr>
          <w:rFonts w:ascii="方正小标宋简体" w:eastAsia="方正小标宋简体"/>
          <w:b/>
          <w:sz w:val="44"/>
          <w:szCs w:val="44"/>
        </w:rPr>
      </w:pPr>
    </w:p>
    <w:p>
      <w:pPr>
        <w:ind w:firstLine="640"/>
        <w:rPr>
          <w:rFonts w:ascii="仿宋_GB2312" w:eastAsia="仿宋_GB2312" w:hAnsi="黑体"/>
          <w:sz w:val="32"/>
          <w:szCs w:val="32"/>
        </w:rPr>
      </w:pPr>
      <w:r>
        <w:rPr>
          <w:rFonts w:ascii="仿宋_GB2312" w:eastAsia="仿宋_GB2312" w:hAnsi="黑体" w:hint="eastAsia"/>
          <w:sz w:val="32"/>
          <w:szCs w:val="32"/>
        </w:rPr>
        <w:t>按照《</w:t>
      </w:r>
      <w:r>
        <w:rPr>
          <w:rFonts w:ascii="仿宋_GB2312" w:eastAsia="仿宋_GB2312" w:hAnsi="黑体"/>
          <w:sz w:val="32"/>
          <w:szCs w:val="32"/>
        </w:rPr>
        <w:t>中华人民共和国</w:t>
      </w:r>
      <w:bookmarkStart w:id="0" w:name="_GoBack"/>
      <w:bookmarkEnd w:id="0"/>
      <w:r>
        <w:rPr>
          <w:rFonts w:ascii="仿宋_GB2312" w:eastAsia="仿宋_GB2312" w:hAnsi="黑体" w:hint="eastAsia"/>
          <w:sz w:val="32"/>
          <w:szCs w:val="32"/>
        </w:rPr>
        <w:t>预算法》、《地方预决算公开操作规程》和《河北省省级预算公开办法》规定，现将中国共产党永清县纪律检查委员会永清县监察委员会</w:t>
      </w:r>
      <w:r>
        <w:rPr>
          <w:rFonts w:ascii="仿宋_GB2312" w:eastAsia="仿宋_GB2312" w:hAnsi="黑体"/>
          <w:sz w:val="32"/>
          <w:szCs w:val="32"/>
        </w:rPr>
        <w:t>2019</w:t>
      </w:r>
      <w:r>
        <w:rPr>
          <w:rFonts w:ascii="仿宋_GB2312" w:eastAsia="仿宋_GB2312" w:hAnsi="黑体" w:hint="eastAsia"/>
          <w:sz w:val="32"/>
          <w:szCs w:val="32"/>
        </w:rPr>
        <w:t>年部门预算公开如下：</w:t>
      </w:r>
    </w:p>
    <w:p>
      <w:pPr>
        <w:ind w:firstLine="640"/>
        <w:rPr>
          <w:rFonts w:ascii="黑体" w:eastAsia="黑体" w:hAnsi="黑体"/>
          <w:sz w:val="32"/>
          <w:szCs w:val="32"/>
        </w:rPr>
      </w:pPr>
      <w:r>
        <w:rPr>
          <w:rFonts w:ascii="黑体" w:eastAsia="黑体" w:hAnsi="黑体" w:hint="eastAsia"/>
          <w:sz w:val="32"/>
          <w:szCs w:val="32"/>
        </w:rPr>
        <w:t>一、部门职责及机构设置情况</w:t>
      </w:r>
    </w:p>
    <w:p>
      <w:pPr>
        <w:ind w:firstLineChars="200" w:firstLine="640"/>
        <w:rPr>
          <w:rFonts w:ascii="楷体_GB2312" w:eastAsia="楷体_GB2312" w:cs="楷体" w:hAnsi="楷体"/>
          <w:b/>
          <w:sz w:val="32"/>
          <w:szCs w:val="32"/>
        </w:rPr>
      </w:pPr>
      <w:r>
        <w:rPr>
          <w:rFonts w:ascii="楷体_GB2312" w:eastAsia="楷体_GB2312" w:cs="楷体" w:hAnsi="楷体" w:hint="eastAsia"/>
          <w:b/>
          <w:sz w:val="32"/>
          <w:szCs w:val="32"/>
        </w:rPr>
        <w:t>部门职责：</w:t>
      </w:r>
    </w:p>
    <w:p>
      <w:pPr>
        <w:ind w:firstLine="640"/>
        <w:rPr>
          <w:rFonts w:ascii="仿宋_GB2312" w:eastAsia="仿宋_GB2312" w:hAnsi="黑体"/>
          <w:sz w:val="32"/>
          <w:szCs w:val="32"/>
        </w:rPr>
      </w:pPr>
      <w:r>
        <w:rPr>
          <w:rFonts w:ascii="仿宋_GB2312" w:eastAsia="仿宋_GB2312" w:hAnsi="黑体" w:hint="eastAsia"/>
          <w:sz w:val="32"/>
          <w:szCs w:val="32"/>
        </w:rPr>
        <w:t>纪委监委主要职责</w:t>
      </w:r>
    </w:p>
    <w:p>
      <w:pPr>
        <w:ind w:firstLine="640"/>
        <w:rPr>
          <w:rFonts w:ascii="仿宋_GB2312" w:eastAsia="仿宋_GB2312" w:hAnsi="黑体"/>
          <w:sz w:val="32"/>
          <w:szCs w:val="32"/>
        </w:rPr>
      </w:pPr>
      <w:r>
        <w:rPr>
          <w:rFonts w:ascii="仿宋_GB2312" w:eastAsia="仿宋_GB2312" w:hAnsi="黑体"/>
          <w:sz w:val="32"/>
          <w:szCs w:val="32"/>
        </w:rPr>
        <w:t>1.</w:t>
      </w:r>
      <w:r>
        <w:rPr>
          <w:rFonts w:ascii="仿宋_GB2312" w:eastAsia="仿宋_GB2312" w:hAnsi="黑体" w:hint="eastAsia"/>
          <w:sz w:val="32"/>
          <w:szCs w:val="32"/>
        </w:rPr>
        <w:t>维护党的章程和其他党内法规，检查党的路线、方针、政策和决议的执行情况，协助县委加强党风廉政建设和组织协调反腐败工作。</w:t>
      </w:r>
    </w:p>
    <w:p>
      <w:pPr>
        <w:ind w:firstLine="640"/>
        <w:rPr>
          <w:rFonts w:ascii="仿宋_GB2312" w:eastAsia="仿宋_GB2312" w:hAnsi="黑体"/>
          <w:sz w:val="32"/>
          <w:szCs w:val="32"/>
        </w:rPr>
      </w:pPr>
      <w:r>
        <w:rPr>
          <w:rFonts w:ascii="仿宋_GB2312" w:eastAsia="仿宋_GB2312" w:hAnsi="黑体"/>
          <w:sz w:val="32"/>
          <w:szCs w:val="32"/>
        </w:rPr>
        <w:t>2.</w:t>
      </w:r>
      <w:r>
        <w:rPr>
          <w:rFonts w:ascii="仿宋_GB2312" w:eastAsia="仿宋_GB2312" w:hAnsi="黑体" w:hint="eastAsia"/>
          <w:sz w:val="32"/>
          <w:szCs w:val="32"/>
        </w:rPr>
        <w:t>督促全县各级党的组织落实全面从严治党的主体责任，履行对各级党的组织和党员的监督责任。对履行全面从严治党主体责任、监督责任不力、造成严重后果的，提出问责建议。</w:t>
      </w:r>
    </w:p>
    <w:p>
      <w:pPr>
        <w:ind w:firstLine="640"/>
        <w:rPr>
          <w:rFonts w:ascii="仿宋_GB2312" w:eastAsia="仿宋_GB2312" w:hAnsi="黑体"/>
          <w:sz w:val="32"/>
          <w:szCs w:val="32"/>
        </w:rPr>
      </w:pPr>
      <w:r>
        <w:rPr>
          <w:rFonts w:ascii="仿宋_GB2312" w:eastAsia="仿宋_GB2312" w:hAnsi="黑体"/>
          <w:sz w:val="32"/>
          <w:szCs w:val="32"/>
        </w:rPr>
        <w:t>3.</w:t>
      </w:r>
      <w:r>
        <w:rPr>
          <w:rFonts w:ascii="仿宋_GB2312" w:eastAsia="仿宋_GB2312" w:hAnsi="黑体" w:hint="eastAsia"/>
          <w:sz w:val="32"/>
          <w:szCs w:val="32"/>
        </w:rPr>
        <w:t>把党的纪律和规矩挺在前面，运用执纪“四种形态”，建立完善党内监督体系。</w:t>
      </w:r>
    </w:p>
    <w:p>
      <w:pPr>
        <w:ind w:firstLine="640"/>
        <w:rPr>
          <w:rFonts w:ascii="仿宋_GB2312" w:eastAsia="仿宋_GB2312" w:hAnsi="黑体"/>
          <w:sz w:val="32"/>
          <w:szCs w:val="32"/>
        </w:rPr>
      </w:pPr>
      <w:r>
        <w:rPr>
          <w:rFonts w:ascii="仿宋_GB2312" w:eastAsia="仿宋_GB2312" w:hAnsi="黑体"/>
          <w:sz w:val="32"/>
          <w:szCs w:val="32"/>
        </w:rPr>
        <w:t>4.</w:t>
      </w:r>
      <w:r>
        <w:rPr>
          <w:rFonts w:ascii="仿宋_GB2312" w:eastAsia="仿宋_GB2312" w:hAnsi="黑体" w:hint="eastAsia"/>
          <w:sz w:val="32"/>
          <w:szCs w:val="32"/>
        </w:rPr>
        <w:t>检查和处理全县各级党的组织和党员违反党的章程和其他党内法规及国家法律、法令的比较重要或复杂的案件，决定或取消对这些案件中的党员的处分。</w:t>
      </w:r>
    </w:p>
    <w:p>
      <w:pPr>
        <w:ind w:firstLine="640"/>
        <w:rPr>
          <w:rFonts w:ascii="仿宋_GB2312" w:eastAsia="仿宋_GB2312" w:hAnsi="黑体"/>
          <w:sz w:val="32"/>
          <w:szCs w:val="32"/>
        </w:rPr>
      </w:pPr>
      <w:r>
        <w:rPr>
          <w:rFonts w:ascii="仿宋_GB2312" w:eastAsia="仿宋_GB2312" w:hAnsi="黑体"/>
          <w:sz w:val="32"/>
          <w:szCs w:val="32"/>
        </w:rPr>
        <w:t>5.</w:t>
      </w:r>
      <w:r>
        <w:rPr>
          <w:rFonts w:ascii="仿宋_GB2312" w:eastAsia="仿宋_GB2312" w:hAnsi="黑体" w:hint="eastAsia"/>
          <w:sz w:val="32"/>
          <w:szCs w:val="32"/>
        </w:rPr>
        <w:t>对公职人员依法履职、秉公用权、廉洁从政从业以及道德操守情况进行监督检查。对涉嫌贪污贿赂、滥用职权、玩忽职守、权力寻租、利益输送、徇私舞弊以及浪费国家资财等职务违法和职务犯罪进行调查。依据相关法律对违法公职人员作出政务处分决定；对在行政职权中存在的问题提出监察建议；对履行职责不力，失职失责的领导人员进行问责；对涉嫌职务犯罪的，将调查结果移送检察机关依法提起公诉。</w:t>
      </w:r>
    </w:p>
    <w:p>
      <w:pPr>
        <w:ind w:firstLine="640"/>
        <w:rPr>
          <w:rFonts w:ascii="仿宋_GB2312" w:eastAsia="仿宋_GB2312" w:hAnsi="黑体"/>
          <w:sz w:val="32"/>
          <w:szCs w:val="32"/>
        </w:rPr>
      </w:pPr>
      <w:r>
        <w:rPr>
          <w:rFonts w:ascii="仿宋_GB2312" w:eastAsia="仿宋_GB2312" w:hAnsi="黑体"/>
          <w:sz w:val="32"/>
          <w:szCs w:val="32"/>
        </w:rPr>
        <w:t>6.</w:t>
      </w:r>
      <w:r>
        <w:rPr>
          <w:rFonts w:ascii="仿宋_GB2312" w:eastAsia="仿宋_GB2312" w:hAnsi="黑体" w:hint="eastAsia"/>
          <w:sz w:val="32"/>
          <w:szCs w:val="32"/>
        </w:rPr>
        <w:t>受理对党员违反党的纪律和国家法律法规的控告、检举；受理对监察对象职务违法和职务犯罪行为的控告、检举。受理党员的控告和申诉，保障党员的权利；受理监察对象不服主管机关给予处置决定的申诉，以及法律法规规定的其他由监察机关受理的申诉等。</w:t>
      </w:r>
    </w:p>
    <w:p>
      <w:pPr>
        <w:ind w:firstLine="640"/>
        <w:rPr>
          <w:rFonts w:ascii="仿宋_GB2312" w:eastAsia="仿宋_GB2312" w:hAnsi="黑体"/>
          <w:sz w:val="32"/>
          <w:szCs w:val="32"/>
        </w:rPr>
      </w:pPr>
      <w:r>
        <w:rPr>
          <w:rFonts w:ascii="仿宋_GB2312" w:eastAsia="仿宋_GB2312" w:hAnsi="黑体"/>
          <w:sz w:val="32"/>
          <w:szCs w:val="32"/>
        </w:rPr>
        <w:t>7.</w:t>
      </w:r>
      <w:r>
        <w:rPr>
          <w:rFonts w:ascii="仿宋_GB2312" w:eastAsia="仿宋_GB2312" w:hAnsi="黑体" w:hint="eastAsia"/>
          <w:sz w:val="32"/>
          <w:szCs w:val="32"/>
        </w:rPr>
        <w:t>制定党风党纪教育规划，配合有关部门做好党的纪律检查工作方针、政策的宣传工作和对党员遵守纪律的教育工作；会同有关部门做好监察工作法律法规的宣传工作，开展职务犯罪预防工作，教育公职人员遵纪守法、清廉用权。</w:t>
      </w:r>
    </w:p>
    <w:p>
      <w:pPr>
        <w:ind w:firstLine="640"/>
        <w:rPr>
          <w:rFonts w:ascii="仿宋_GB2312" w:eastAsia="仿宋_GB2312" w:hAnsi="黑体"/>
          <w:sz w:val="32"/>
          <w:szCs w:val="32"/>
        </w:rPr>
      </w:pPr>
      <w:r>
        <w:rPr>
          <w:rFonts w:ascii="仿宋_GB2312" w:eastAsia="仿宋_GB2312" w:hAnsi="黑体"/>
          <w:sz w:val="32"/>
          <w:szCs w:val="32"/>
        </w:rPr>
        <w:t>8.</w:t>
      </w:r>
      <w:r>
        <w:rPr>
          <w:rFonts w:ascii="仿宋_GB2312" w:eastAsia="仿宋_GB2312" w:hAnsi="黑体" w:hint="eastAsia"/>
          <w:sz w:val="32"/>
          <w:szCs w:val="32"/>
        </w:rPr>
        <w:t>对全县各级纪检监察机关在党内监督和国家监察中作出的决定进行审查，纠正错误决定。</w:t>
      </w:r>
    </w:p>
    <w:p>
      <w:pPr>
        <w:ind w:firstLine="640"/>
        <w:rPr>
          <w:rFonts w:ascii="仿宋_GB2312" w:eastAsia="仿宋_GB2312" w:hAnsi="黑体"/>
          <w:sz w:val="32"/>
          <w:szCs w:val="32"/>
        </w:rPr>
      </w:pPr>
      <w:r>
        <w:rPr>
          <w:rFonts w:ascii="仿宋_GB2312" w:eastAsia="仿宋_GB2312" w:hAnsi="黑体"/>
          <w:sz w:val="32"/>
          <w:szCs w:val="32"/>
        </w:rPr>
        <w:t>9.</w:t>
      </w:r>
      <w:r>
        <w:rPr>
          <w:rFonts w:ascii="仿宋_GB2312" w:eastAsia="仿宋_GB2312" w:hAnsi="黑体" w:hint="eastAsia"/>
          <w:sz w:val="32"/>
          <w:szCs w:val="32"/>
        </w:rPr>
        <w:t>调查全县党的组织和党员、监察对象遵纪守法情况，研究党风党纪、政风政纪中出现的带普遍性、倾向性的问题以及监察工作中具体应用法律问题，向有关方面提出相关建议；建立完善党内法规、制度，拟定党纪条规和政策规定；制定全县有关监察工作的具体规定、办法和实施细则等地方性规章制度，并组织监督实施。</w:t>
      </w:r>
    </w:p>
    <w:p>
      <w:pPr>
        <w:ind w:firstLine="640"/>
        <w:rPr>
          <w:rFonts w:ascii="仿宋_GB2312" w:eastAsia="仿宋_GB2312" w:hAnsi="黑体"/>
          <w:sz w:val="32"/>
          <w:szCs w:val="32"/>
        </w:rPr>
      </w:pPr>
      <w:r>
        <w:rPr>
          <w:rFonts w:ascii="仿宋_GB2312" w:eastAsia="仿宋_GB2312" w:hAnsi="黑体"/>
          <w:sz w:val="32"/>
          <w:szCs w:val="32"/>
        </w:rPr>
        <w:t>10.</w:t>
      </w:r>
      <w:r>
        <w:rPr>
          <w:rFonts w:ascii="仿宋_GB2312" w:eastAsia="仿宋_GB2312" w:hAnsi="黑体" w:hint="eastAsia"/>
          <w:sz w:val="32"/>
          <w:szCs w:val="32"/>
        </w:rPr>
        <w:t>依法向县人民代表大会及其常务委员会提出议案。</w:t>
      </w:r>
    </w:p>
    <w:p>
      <w:pPr>
        <w:ind w:firstLine="640"/>
        <w:rPr>
          <w:rFonts w:ascii="仿宋_GB2312" w:eastAsia="仿宋_GB2312" w:hAnsi="黑体"/>
          <w:sz w:val="32"/>
          <w:szCs w:val="32"/>
        </w:rPr>
      </w:pPr>
      <w:r>
        <w:rPr>
          <w:rFonts w:ascii="仿宋_GB2312" w:eastAsia="仿宋_GB2312" w:hAnsi="黑体"/>
          <w:sz w:val="32"/>
          <w:szCs w:val="32"/>
        </w:rPr>
        <w:t>11.</w:t>
      </w:r>
      <w:r>
        <w:rPr>
          <w:rFonts w:ascii="仿宋_GB2312" w:eastAsia="仿宋_GB2312" w:hAnsi="黑体" w:hint="eastAsia"/>
          <w:sz w:val="32"/>
          <w:szCs w:val="32"/>
        </w:rPr>
        <w:t>开展国（境）内追逃追赃和防逃工作。</w:t>
      </w:r>
    </w:p>
    <w:p>
      <w:pPr>
        <w:ind w:firstLine="640"/>
        <w:rPr>
          <w:rFonts w:ascii="仿宋_GB2312" w:eastAsia="仿宋_GB2312" w:hAnsi="黑体"/>
          <w:sz w:val="32"/>
          <w:szCs w:val="32"/>
        </w:rPr>
      </w:pPr>
      <w:r>
        <w:rPr>
          <w:rFonts w:ascii="仿宋_GB2312" w:eastAsia="仿宋_GB2312" w:hAnsi="黑体"/>
          <w:sz w:val="32"/>
          <w:szCs w:val="32"/>
        </w:rPr>
        <w:t>12.</w:t>
      </w:r>
      <w:r>
        <w:rPr>
          <w:rFonts w:ascii="仿宋_GB2312" w:eastAsia="仿宋_GB2312" w:hAnsi="黑体" w:hint="eastAsia"/>
          <w:sz w:val="32"/>
          <w:szCs w:val="32"/>
        </w:rPr>
        <w:t>领导全县各级纪检监察机关的工作，部署全县纪检监察工作任务；负责全县纪检监察系统的组织建设，按照干部管理权限，对乡镇纪委领导班子和派驻（派出）机构的领导干部进行考核和任免；负责全县纪检监察系统干部教育培育工作。</w:t>
      </w:r>
    </w:p>
    <w:p>
      <w:pPr>
        <w:ind w:firstLine="640"/>
        <w:rPr>
          <w:rFonts w:ascii="仿宋_GB2312" w:eastAsia="仿宋_GB2312" w:hAnsi="黑体"/>
          <w:sz w:val="32"/>
          <w:szCs w:val="32"/>
        </w:rPr>
      </w:pPr>
      <w:r>
        <w:rPr>
          <w:rFonts w:ascii="仿宋_GB2312" w:eastAsia="仿宋_GB2312" w:hAnsi="黑体"/>
          <w:sz w:val="32"/>
          <w:szCs w:val="32"/>
        </w:rPr>
        <w:t>13.</w:t>
      </w:r>
      <w:r>
        <w:rPr>
          <w:rFonts w:ascii="仿宋_GB2312" w:eastAsia="仿宋_GB2312" w:hAnsi="黑体" w:hint="eastAsia"/>
          <w:sz w:val="32"/>
          <w:szCs w:val="32"/>
        </w:rPr>
        <w:t>承办市纪委、市监委和县委、县人大授权和交办的其他事项。</w:t>
      </w:r>
    </w:p>
    <w:p>
      <w:pPr>
        <w:ind w:firstLine="640"/>
        <w:rPr>
          <w:rFonts w:ascii="仿宋_GB2312" w:eastAsia="仿宋_GB2312" w:hAnsi="黑体"/>
          <w:sz w:val="32"/>
          <w:szCs w:val="32"/>
        </w:rPr>
      </w:pPr>
      <w:r>
        <w:rPr>
          <w:rFonts w:ascii="仿宋_GB2312" w:eastAsia="仿宋_GB2312" w:hAnsi="黑体" w:hint="eastAsia"/>
          <w:sz w:val="32"/>
          <w:szCs w:val="32"/>
        </w:rPr>
        <w:t>巡察机构主要职责</w:t>
      </w:r>
    </w:p>
    <w:p>
      <w:pPr>
        <w:ind w:firstLine="640"/>
        <w:rPr>
          <w:rFonts w:ascii="仿宋_GB2312" w:eastAsia="仿宋_GB2312" w:hAnsi="黑体"/>
          <w:sz w:val="32"/>
          <w:szCs w:val="32"/>
        </w:rPr>
      </w:pPr>
      <w:r>
        <w:rPr>
          <w:rFonts w:ascii="仿宋_GB2312" w:eastAsia="仿宋_GB2312" w:hAnsi="黑体"/>
          <w:sz w:val="32"/>
          <w:szCs w:val="32"/>
        </w:rPr>
        <w:t>1</w:t>
      </w:r>
      <w:r>
        <w:rPr>
          <w:rFonts w:ascii="仿宋_GB2312" w:eastAsia="仿宋_GB2312" w:hAnsi="黑体" w:hint="eastAsia"/>
          <w:sz w:val="32"/>
          <w:szCs w:val="32"/>
        </w:rPr>
        <w:t>、巡察办负责县委巡察工作的综合协调、组织指导、制度建设及对巡察组的监督管理、服务保障等工作；贯彻落实县委和县委巡察工作领导小组作出的决策和部署，向县委巡察工作领导小组报告巡察工作情况；督促本县有关部门和所属乡镇做好省委巡视机构和市、县委巡察机构反馈意见的整改落实；协调配合有关部门调配、培训、考核、监督和管理巡察工作人员；负责与省委巡视工作领导小组办公室、市委巡察工作领导小组办公室的日常联络，承办省委巡视机构和市委巡察机构交办的事项；负责本部门干部日常管理和监督，承办领导交办的其他事项。</w:t>
      </w:r>
    </w:p>
    <w:p>
      <w:pPr>
        <w:ind w:firstLine="640"/>
        <w:rPr>
          <w:rFonts w:ascii="仿宋_GB2312" w:eastAsia="仿宋_GB2312" w:hAnsi="黑体"/>
          <w:sz w:val="32"/>
          <w:szCs w:val="32"/>
        </w:rPr>
      </w:pPr>
      <w:r>
        <w:rPr>
          <w:rFonts w:ascii="仿宋_GB2312" w:eastAsia="仿宋_GB2312" w:hAnsi="黑体" w:hint="eastAsia"/>
          <w:sz w:val="32"/>
          <w:szCs w:val="32"/>
        </w:rPr>
        <w:t>２、巡察组负责对所辖乡（科）级及以下地方、单位党组织领导班子及其成员进行巡察监督。常规巡察着力发现违反“六项纪律”方面的问题和线索，专项巡察重点发现以权谋私、作风不实、侵害群众利益等方面存在的突出问题；报告巡察情况，包括巡察情况的全面报告、巡察期间的阶段性报告、巡察过程中的重大情况报告、普遍性倾向性问题的专题报告等；巡察工作结束后，经批准，及时向被巡察党组织及其主要负责人反馈巡察情况，并会同巡察办督促其认真抓好整改落实；对派出巡察组的党组织决定的事项及时分类移交，会同巡察办做好跟踪督办工作；办理巡察工作领导小组交办的其他事项；负责本巡察组干部日常管理和监督，承办领导交办的其他事项。</w:t>
      </w:r>
    </w:p>
    <w:p>
      <w:pPr>
        <w:ind w:firstLineChars="200" w:firstLine="640"/>
        <w:rPr>
          <w:rFonts w:ascii="楷体_GB2312" w:eastAsia="楷体_GB2312" w:cs="楷体" w:hAnsi="楷体"/>
          <w:b/>
          <w:sz w:val="32"/>
          <w:szCs w:val="32"/>
        </w:rPr>
      </w:pPr>
    </w:p>
    <w:p>
      <w:pPr>
        <w:ind w:firstLineChars="200" w:firstLine="640"/>
        <w:rPr>
          <w:rFonts w:ascii="楷体_GB2312" w:eastAsia="楷体_GB2312" w:cs="楷体" w:hAnsi="楷体"/>
          <w:b/>
          <w:sz w:val="32"/>
          <w:szCs w:val="32"/>
        </w:rPr>
      </w:pPr>
      <w:r>
        <w:rPr>
          <w:rFonts w:ascii="楷体_GB2312" w:eastAsia="楷体_GB2312" w:cs="楷体" w:hAnsi="楷体" w:hint="eastAsia"/>
          <w:b/>
          <w:sz w:val="32"/>
          <w:szCs w:val="32"/>
        </w:rPr>
        <w:t>机构设置：</w:t>
      </w:r>
    </w:p>
    <w:p>
      <w:pPr>
        <w:jc w:val="center"/>
        <w:outlineLvl w:val="0"/>
        <w:rPr>
          <w:rFonts w:ascii="Times New Roman" w:hAnsi="Times New Roman"/>
          <w:sz w:val="32"/>
          <w:szCs w:val="24"/>
        </w:rPr>
      </w:pPr>
      <w:r>
        <w:rPr>
          <w:rFonts w:ascii="宋体" w:cs="宋体" w:hAnsi="宋体" w:hint="eastAsia"/>
          <w:sz w:val="32"/>
          <w:szCs w:val="24"/>
        </w:rPr>
        <w:t>部门机构设置情况</w:t>
      </w:r>
    </w:p>
    <w:tbl>
      <w:tblPr>
        <w:jc w:val="center"/>
        <w:tblW w:w="97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4443"/>
        <w:gridCol w:w="1134"/>
        <w:gridCol w:w="1276"/>
        <w:gridCol w:w="2902"/>
      </w:tblGrid>
      <w:tr>
        <w:trPr>
          <w:trHeight w:val="300"/>
          <w:tblHeader/>
        </w:trPr>
        <w:tc>
          <w:tcPr>
            <w:tcW w:w="4443" w:type="dxa"/>
            <w:vMerge w:val="restart"/>
            <w:vAlign w:val="center"/>
          </w:tcPr>
          <w:p>
            <w:pPr>
              <w:spacing w:line="300" w:lineRule="exact"/>
              <w:jc w:val="center"/>
              <w:rPr>
                <w:rFonts w:ascii="Times New Roman" w:eastAsia="方正书宋_GBK" w:hAnsi="Times New Roman"/>
                <w:b/>
                <w:szCs w:val="24"/>
              </w:rPr>
            </w:pPr>
            <w:r>
              <w:rPr>
                <w:rFonts w:ascii="Times New Roman" w:eastAsia="方正书宋_GBK" w:hAnsi="Times New Roman" w:hint="eastAsia"/>
                <w:b/>
                <w:szCs w:val="24"/>
              </w:rPr>
              <w:t>单位名称</w:t>
            </w:r>
          </w:p>
        </w:tc>
        <w:tc>
          <w:tcPr>
            <w:tcW w:w="1134" w:type="dxa"/>
            <w:vMerge w:val="restart"/>
            <w:vAlign w:val="center"/>
          </w:tcPr>
          <w:p>
            <w:pPr>
              <w:spacing w:line="300" w:lineRule="exact"/>
              <w:jc w:val="center"/>
              <w:rPr>
                <w:rFonts w:ascii="Times New Roman" w:eastAsia="方正书宋_GBK" w:hAnsi="Times New Roman"/>
                <w:b/>
                <w:szCs w:val="24"/>
              </w:rPr>
            </w:pPr>
            <w:r>
              <w:rPr>
                <w:rFonts w:ascii="Times New Roman" w:eastAsia="方正书宋_GBK" w:hAnsi="Times New Roman" w:hint="eastAsia"/>
                <w:b/>
                <w:szCs w:val="24"/>
              </w:rPr>
              <w:t>单位性质</w:t>
            </w:r>
          </w:p>
        </w:tc>
        <w:tc>
          <w:tcPr>
            <w:tcW w:w="1276" w:type="dxa"/>
            <w:vMerge w:val="restart"/>
            <w:vAlign w:val="center"/>
          </w:tcPr>
          <w:p>
            <w:pPr>
              <w:spacing w:line="300" w:lineRule="exact"/>
              <w:jc w:val="center"/>
              <w:rPr>
                <w:rFonts w:ascii="Times New Roman" w:eastAsia="方正书宋_GBK" w:hAnsi="Times New Roman"/>
                <w:b/>
                <w:szCs w:val="24"/>
              </w:rPr>
            </w:pPr>
            <w:r>
              <w:rPr>
                <w:rFonts w:ascii="Times New Roman" w:eastAsia="方正书宋_GBK" w:hAnsi="Times New Roman" w:hint="eastAsia"/>
                <w:b/>
                <w:szCs w:val="24"/>
              </w:rPr>
              <w:t>单位规格</w:t>
            </w:r>
          </w:p>
        </w:tc>
        <w:tc>
          <w:tcPr>
            <w:tcW w:w="2902" w:type="dxa"/>
            <w:vMerge w:val="restart"/>
            <w:vAlign w:val="center"/>
          </w:tcPr>
          <w:p>
            <w:pPr>
              <w:spacing w:line="300" w:lineRule="exact"/>
              <w:jc w:val="center"/>
              <w:rPr>
                <w:rFonts w:ascii="Times New Roman" w:eastAsia="方正书宋_GBK" w:hAnsi="Times New Roman"/>
                <w:b/>
                <w:szCs w:val="24"/>
              </w:rPr>
            </w:pPr>
            <w:r>
              <w:rPr>
                <w:rFonts w:ascii="Times New Roman" w:eastAsia="方正书宋_GBK" w:hAnsi="Times New Roman" w:hint="eastAsia"/>
                <w:b/>
                <w:szCs w:val="24"/>
              </w:rPr>
              <w:t>经费保障形式</w:t>
            </w:r>
          </w:p>
        </w:tc>
      </w:tr>
      <w:tr>
        <w:trPr>
          <w:trHeight w:val="300"/>
          <w:tblHeader/>
        </w:trPr>
        <w:tc>
          <w:tcPr>
            <w:tcW w:w="4443" w:type="dxa"/>
            <w:vMerge/>
            <w:vAlign w:val="center"/>
          </w:tcPr>
          <w:p/>
        </w:tc>
        <w:tc>
          <w:tcPr>
            <w:tcW w:w="1134" w:type="dxa"/>
            <w:vMerge/>
            <w:tcBorders>
              <w:left w:val="single" w:sz="6" w:space="0" w:color="000000"/>
            </w:tcBorders>
            <w:vAlign w:val="center"/>
          </w:tcPr>
          <w:p/>
        </w:tc>
        <w:tc>
          <w:tcPr>
            <w:tcW w:w="1276" w:type="dxa"/>
            <w:vMerge/>
            <w:tcBorders>
              <w:left w:val="single" w:sz="6" w:space="0" w:color="000000"/>
            </w:tcBorders>
            <w:vAlign w:val="center"/>
          </w:tcPr>
          <w:p/>
        </w:tc>
        <w:tc>
          <w:tcPr>
            <w:tcW w:w="2902" w:type="dxa"/>
            <w:vMerge/>
            <w:tcBorders>
              <w:left w:val="single" w:sz="6" w:space="0" w:color="000000"/>
            </w:tcBorders>
            <w:vAlign w:val="center"/>
          </w:tcP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中国共产党永清县纪律检查委员会永清县监察委员会</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副处级</w:t>
            </w:r>
          </w:p>
        </w:tc>
        <w:tc>
          <w:tcPr>
            <w:tcW w:w="2902"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办公室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组织部</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7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宣传部</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党风政风监督室（县政府纠正部门和行业不正之风办公室）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信访室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案件监督管理室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第一纪检监察室（执纪监督）</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第二纪检监察室（执纪监督）</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30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第三纪检监察室（执纪监督）</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第四纪检监察室（执纪监督）</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5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第五纪检监察室（执纪监督）</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5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第六纪检监察室（审查调查）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第七纪检监察室（审查调查）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第八纪检监察室（审查调查）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第九纪检监察室（审查调查）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第十纪检监察室（审查调查）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第十一纪检监察室（审查调查）</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案件审理室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纪检监察干部监督室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0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永清县廉政教育培训中心</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事业</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财政性资金基本保证</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纪检监察信息网络中心</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事业</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副科级</w:t>
            </w:r>
          </w:p>
        </w:tc>
        <w:tc>
          <w:tcPr>
            <w:tcW w:w="2902"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财政性资金基本保证</w:t>
            </w:r>
          </w:p>
        </w:tc>
      </w:tr>
      <w:tr>
        <w:trPr>
          <w:trHeight w:val="227"/>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县委巡察工作领导小组办公室</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0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县委第一巡察组</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5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县委第二巡察组</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5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县委第三巡察组</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r>
        <w:trPr>
          <w:trHeight w:val="150"/>
        </w:trPr>
        <w:tc>
          <w:tcPr>
            <w:tcW w:w="4443" w:type="dxa"/>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县委第四巡察组</w:t>
            </w:r>
          </w:p>
        </w:tc>
        <w:tc>
          <w:tcPr>
            <w:tcW w:w="1134"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行政</w:t>
            </w:r>
          </w:p>
        </w:tc>
        <w:tc>
          <w:tcPr>
            <w:tcW w:w="1276" w:type="dxa"/>
            <w:tcBorders>
              <w:left w:val="single" w:sz="6" w:space="0" w:color="000000"/>
            </w:tcBorders>
            <w:vAlign w:val="center"/>
          </w:tcPr>
          <w:p>
            <w:pPr>
              <w:spacing w:line="300" w:lineRule="exact"/>
              <w:jc w:val="left"/>
              <w:rPr>
                <w:rFonts w:ascii="Times New Roman" w:eastAsia="方正书宋_GBK" w:hAnsi="Times New Roman"/>
                <w:szCs w:val="24"/>
              </w:rPr>
            </w:pPr>
            <w:r>
              <w:rPr>
                <w:rFonts w:ascii="Times New Roman" w:eastAsia="方正书宋_GBK" w:hAnsi="Times New Roman" w:hint="eastAsia"/>
                <w:szCs w:val="24"/>
              </w:rPr>
              <w:t>正科级</w:t>
            </w:r>
          </w:p>
        </w:tc>
        <w:tc>
          <w:tcPr>
            <w:tcW w:w="2902" w:type="dxa"/>
            <w:tcBorders>
              <w:left w:val="single" w:sz="6" w:space="0" w:color="000000"/>
            </w:tcBorders>
            <w:vAlign w:val="center"/>
          </w:tcPr>
          <w:p>
            <w:pPr>
              <w:spacing w:line="300" w:lineRule="exact"/>
              <w:jc w:val="left"/>
              <w:rPr>
                <w:rFonts w:ascii="Times New Roman" w:eastAsia="方正书宋_GBK" w:hAnsi="Times New Roman" w:hint="eastAsia"/>
                <w:szCs w:val="24"/>
                <w:lang w:eastAsia="zh-CN"/>
              </w:rPr>
            </w:pPr>
            <w:r>
              <w:rPr>
                <w:rFonts w:ascii="Times New Roman" w:eastAsia="方正书宋_GBK" w:hAnsi="Times New Roman" w:hint="eastAsia"/>
                <w:szCs w:val="24"/>
                <w:lang w:eastAsia="zh-CN"/>
              </w:rPr>
              <w:t>财政拨款</w:t>
            </w:r>
          </w:p>
        </w:tc>
      </w:tr>
    </w:tbl>
    <w:p/>
    <w:p>
      <w:pPr>
        <w:ind w:firstLine="640"/>
        <w:rPr>
          <w:rFonts w:ascii="黑体" w:eastAsia="黑体" w:hAnsi="黑体"/>
          <w:sz w:val="32"/>
          <w:szCs w:val="32"/>
        </w:rPr>
      </w:pPr>
      <w:r>
        <w:rPr>
          <w:rFonts w:ascii="黑体" w:eastAsia="黑体" w:hAnsi="黑体" w:hint="eastAsia"/>
          <w:sz w:val="32"/>
          <w:szCs w:val="32"/>
        </w:rPr>
        <w:t>二、部门预算安排的总体情况</w:t>
      </w:r>
    </w:p>
    <w:p>
      <w:pPr>
        <w:ind w:firstLine="640"/>
        <w:rPr>
          <w:rFonts w:ascii="仿宋_GB2312" w:eastAsia="仿宋_GB2312" w:cs="仿宋" w:hAnsi="仿宋"/>
          <w:sz w:val="32"/>
          <w:szCs w:val="32"/>
        </w:rPr>
      </w:pPr>
      <w:r>
        <w:rPr>
          <w:rFonts w:ascii="仿宋_GB2312" w:eastAsia="仿宋_GB2312" w:cs="宋体" w:hAnsi="宋体" w:hint="eastAsia"/>
          <w:sz w:val="32"/>
          <w:szCs w:val="32"/>
        </w:rPr>
        <w:t>按照预算管理有关规定，目前我县部门预算的编制实行综合预算制度，即全部收入和支出都反映在预算中</w:t>
      </w:r>
      <w:r>
        <w:rPr>
          <w:rFonts w:ascii="仿宋_GB2312" w:eastAsia="仿宋_GB2312" w:cs="仿宋" w:hAnsi="仿宋" w:hint="eastAsia"/>
          <w:sz w:val="32"/>
          <w:szCs w:val="32"/>
        </w:rPr>
        <w:t>。中国共产党永清县纪律检查委员会机关的收支包含在部门预算中。</w:t>
      </w:r>
    </w:p>
    <w:p>
      <w:pPr>
        <w:ind w:firstLine="640"/>
        <w:rPr>
          <w:rFonts w:ascii="楷体_GB2312" w:eastAsia="楷体_GB2312" w:cs="楷体" w:hAnsi="楷体"/>
          <w:b/>
          <w:bCs/>
          <w:sz w:val="32"/>
          <w:szCs w:val="32"/>
        </w:rPr>
      </w:pPr>
      <w:r>
        <w:rPr>
          <w:rFonts w:ascii="楷体_GB2312" w:eastAsia="楷体_GB2312" w:cs="楷体" w:hAnsi="楷体"/>
          <w:b/>
          <w:bCs/>
          <w:sz w:val="32"/>
          <w:szCs w:val="32"/>
        </w:rPr>
        <w:t>1</w:t>
      </w:r>
      <w:r>
        <w:rPr>
          <w:rFonts w:ascii="楷体_GB2312" w:eastAsia="楷体_GB2312" w:cs="楷体" w:hAnsi="楷体" w:hint="eastAsia"/>
          <w:b/>
          <w:bCs/>
          <w:sz w:val="32"/>
          <w:szCs w:val="32"/>
        </w:rPr>
        <w:t>、收入说明</w:t>
      </w:r>
    </w:p>
    <w:p>
      <w:pPr>
        <w:ind w:firstLine="640"/>
        <w:rPr>
          <w:rFonts w:ascii="仿宋_GB2312" w:eastAsia="仿宋_GB2312" w:cs="宋体" w:hAnsi="宋体"/>
          <w:sz w:val="32"/>
          <w:szCs w:val="32"/>
        </w:rPr>
      </w:pPr>
      <w:r>
        <w:rPr>
          <w:rFonts w:ascii="仿宋_GB2312" w:eastAsia="仿宋_GB2312" w:cs="宋体" w:hAnsi="宋体" w:hint="eastAsia"/>
          <w:sz w:val="32"/>
          <w:szCs w:val="32"/>
        </w:rPr>
        <w:t>反映本部门当年全部收入。</w:t>
      </w:r>
      <w:r>
        <w:rPr>
          <w:rFonts w:ascii="仿宋_GB2312" w:eastAsia="仿宋_GB2312" w:cs="宋体" w:hAnsi="宋体"/>
          <w:sz w:val="32"/>
          <w:szCs w:val="32"/>
        </w:rPr>
        <w:t>2019</w:t>
      </w:r>
      <w:r>
        <w:rPr>
          <w:rFonts w:ascii="仿宋_GB2312" w:eastAsia="仿宋_GB2312" w:cs="宋体" w:hAnsi="宋体" w:hint="eastAsia"/>
          <w:sz w:val="32"/>
          <w:szCs w:val="32"/>
        </w:rPr>
        <w:t>年预算收入</w:t>
      </w:r>
      <w:r>
        <w:rPr>
          <w:rFonts w:ascii="仿宋_GB2312" w:eastAsia="仿宋_GB2312" w:cs="宋体" w:hAnsi="宋体"/>
          <w:sz w:val="32"/>
          <w:szCs w:val="32"/>
        </w:rPr>
        <w:t>2037.66</w:t>
      </w:r>
      <w:r>
        <w:rPr>
          <w:rFonts w:ascii="仿宋_GB2312" w:eastAsia="仿宋_GB2312" w:cs="宋体" w:hAnsi="宋体" w:hint="eastAsia"/>
          <w:sz w:val="32"/>
          <w:szCs w:val="32"/>
        </w:rPr>
        <w:t>万元，其中：一般公共预算收入</w:t>
      </w:r>
      <w:r>
        <w:rPr>
          <w:rFonts w:ascii="仿宋_GB2312" w:eastAsia="仿宋_GB2312" w:cs="宋体" w:hAnsi="宋体"/>
          <w:sz w:val="32"/>
          <w:szCs w:val="32"/>
        </w:rPr>
        <w:t>2037.66</w:t>
      </w:r>
      <w:r>
        <w:rPr>
          <w:rFonts w:ascii="仿宋_GB2312" w:eastAsia="仿宋_GB2312" w:cs="宋体" w:hAnsi="宋体" w:hint="eastAsia"/>
          <w:sz w:val="32"/>
          <w:szCs w:val="32"/>
        </w:rPr>
        <w:t>万元，基金预算收入</w:t>
      </w:r>
      <w:r>
        <w:rPr>
          <w:rFonts w:ascii="仿宋_GB2312" w:eastAsia="仿宋_GB2312" w:cs="宋体" w:hAnsi="宋体"/>
          <w:sz w:val="32"/>
          <w:szCs w:val="32"/>
        </w:rPr>
        <w:t>0</w:t>
      </w:r>
      <w:r>
        <w:rPr>
          <w:rFonts w:ascii="仿宋_GB2312" w:eastAsia="仿宋_GB2312" w:cs="宋体" w:hAnsi="宋体" w:hint="eastAsia"/>
          <w:sz w:val="32"/>
          <w:szCs w:val="32"/>
        </w:rPr>
        <w:t>万元，财政专户核拔收入</w:t>
      </w:r>
      <w:r>
        <w:rPr>
          <w:rFonts w:ascii="仿宋_GB2312" w:eastAsia="仿宋_GB2312" w:cs="宋体" w:hAnsi="宋体"/>
          <w:sz w:val="32"/>
          <w:szCs w:val="32"/>
        </w:rPr>
        <w:t>0</w:t>
      </w:r>
      <w:r>
        <w:rPr>
          <w:rFonts w:ascii="仿宋_GB2312" w:eastAsia="仿宋_GB2312" w:cs="宋体" w:hAnsi="宋体" w:hint="eastAsia"/>
          <w:sz w:val="32"/>
          <w:szCs w:val="32"/>
        </w:rPr>
        <w:t>万元，其他来源收入</w:t>
      </w:r>
      <w:r>
        <w:rPr>
          <w:rFonts w:ascii="仿宋_GB2312" w:eastAsia="仿宋_GB2312" w:cs="宋体" w:hAnsi="宋体"/>
          <w:sz w:val="32"/>
          <w:szCs w:val="32"/>
        </w:rPr>
        <w:t>0</w:t>
      </w:r>
      <w:r>
        <w:rPr>
          <w:rFonts w:ascii="仿宋_GB2312" w:eastAsia="仿宋_GB2312" w:cs="宋体" w:hAnsi="宋体" w:hint="eastAsia"/>
          <w:sz w:val="32"/>
          <w:szCs w:val="32"/>
        </w:rPr>
        <w:t>万元。</w:t>
      </w:r>
    </w:p>
    <w:p>
      <w:pPr>
        <w:ind w:firstLineChars="200" w:firstLine="640"/>
        <w:rPr>
          <w:rFonts w:ascii="楷体_GB2312" w:eastAsia="楷体_GB2312" w:cs="楷体" w:hAnsi="楷体"/>
          <w:b/>
          <w:sz w:val="32"/>
          <w:szCs w:val="32"/>
        </w:rPr>
      </w:pPr>
      <w:r>
        <w:rPr>
          <w:rFonts w:ascii="楷体_GB2312" w:eastAsia="楷体_GB2312" w:cs="楷体" w:hAnsi="楷体"/>
          <w:b/>
          <w:sz w:val="32"/>
          <w:szCs w:val="32"/>
        </w:rPr>
        <w:t>2</w:t>
      </w:r>
      <w:r>
        <w:rPr>
          <w:rFonts w:ascii="楷体_GB2312" w:eastAsia="楷体_GB2312" w:cs="楷体" w:hAnsi="楷体" w:hint="eastAsia"/>
          <w:b/>
          <w:sz w:val="32"/>
          <w:szCs w:val="32"/>
        </w:rPr>
        <w:t>、支出说明</w:t>
      </w:r>
    </w:p>
    <w:p>
      <w:pPr>
        <w:ind w:firstLine="640"/>
        <w:rPr>
          <w:rFonts w:ascii="仿宋_GB2312" w:eastAsia="仿宋_GB2312" w:cs="宋体" w:hAnsi="宋体"/>
          <w:sz w:val="32"/>
          <w:szCs w:val="32"/>
        </w:rPr>
      </w:pPr>
      <w:r>
        <w:rPr>
          <w:rFonts w:ascii="仿宋_GB2312" w:eastAsia="仿宋_GB2312" w:cs="宋体" w:hAnsi="宋体" w:hint="eastAsia"/>
          <w:sz w:val="32"/>
          <w:szCs w:val="32"/>
        </w:rPr>
        <w:t>收支预算总表支出栏、基本支出表、项目支出表按经济分类和支出功能分类科目编制，反映中国共产党永清县纪律检查委员会</w:t>
      </w:r>
      <w:r>
        <w:rPr>
          <w:rFonts w:ascii="仿宋_GB2312" w:eastAsia="仿宋_GB2312" w:cs="宋体" w:hAnsi="宋体"/>
          <w:sz w:val="32"/>
          <w:szCs w:val="32"/>
        </w:rPr>
        <w:t>2019</w:t>
      </w:r>
      <w:r>
        <w:rPr>
          <w:rFonts w:ascii="仿宋_GB2312" w:eastAsia="仿宋_GB2312" w:cs="宋体" w:hAnsi="宋体" w:hint="eastAsia"/>
          <w:sz w:val="32"/>
          <w:szCs w:val="32"/>
        </w:rPr>
        <w:t>年度部门预算中支出预算的总体情况。</w:t>
      </w:r>
      <w:r>
        <w:rPr>
          <w:rFonts w:ascii="仿宋_GB2312" w:eastAsia="仿宋_GB2312" w:cs="宋体" w:hAnsi="宋体"/>
          <w:sz w:val="32"/>
          <w:szCs w:val="32"/>
        </w:rPr>
        <w:t>2019</w:t>
      </w:r>
      <w:r>
        <w:rPr>
          <w:rFonts w:ascii="仿宋_GB2312" w:eastAsia="仿宋_GB2312" w:cs="宋体" w:hAnsi="宋体" w:hint="eastAsia"/>
          <w:sz w:val="32"/>
          <w:szCs w:val="32"/>
        </w:rPr>
        <w:t>年支出预算</w:t>
      </w:r>
      <w:r>
        <w:rPr>
          <w:rFonts w:ascii="仿宋_GB2312" w:eastAsia="仿宋_GB2312" w:cs="宋体" w:hAnsi="宋体"/>
          <w:sz w:val="32"/>
          <w:szCs w:val="32"/>
        </w:rPr>
        <w:t>2037.66</w:t>
      </w:r>
      <w:r>
        <w:rPr>
          <w:rFonts w:ascii="仿宋_GB2312" w:eastAsia="仿宋_GB2312" w:cs="宋体" w:hAnsi="宋体" w:hint="eastAsia"/>
          <w:sz w:val="32"/>
          <w:szCs w:val="32"/>
        </w:rPr>
        <w:t>万元，其中基本支出</w:t>
      </w:r>
      <w:r>
        <w:rPr>
          <w:rFonts w:ascii="仿宋_GB2312" w:eastAsia="仿宋_GB2312" w:cs="宋体" w:hAnsi="宋体"/>
          <w:sz w:val="32"/>
          <w:szCs w:val="32"/>
        </w:rPr>
        <w:t>1572.12</w:t>
      </w:r>
      <w:r>
        <w:rPr>
          <w:rFonts w:ascii="仿宋_GB2312" w:eastAsia="仿宋_GB2312" w:cs="宋体" w:hAnsi="宋体" w:hint="eastAsia"/>
          <w:sz w:val="32"/>
          <w:szCs w:val="32"/>
        </w:rPr>
        <w:t>万元，包括人员经费</w:t>
      </w:r>
      <w:r>
        <w:rPr>
          <w:rFonts w:ascii="仿宋_GB2312" w:eastAsia="仿宋_GB2312" w:cs="宋体" w:hAnsi="宋体"/>
          <w:sz w:val="32"/>
          <w:szCs w:val="32"/>
        </w:rPr>
        <w:t>1405.9</w:t>
      </w:r>
      <w:r>
        <w:rPr>
          <w:rFonts w:ascii="仿宋_GB2312" w:eastAsia="仿宋_GB2312" w:cs="宋体" w:hAnsi="宋体" w:hint="eastAsia"/>
          <w:sz w:val="32"/>
          <w:szCs w:val="32"/>
        </w:rPr>
        <w:t>万元和日常公用经费</w:t>
      </w:r>
      <w:r>
        <w:rPr>
          <w:rFonts w:ascii="仿宋_GB2312" w:eastAsia="仿宋_GB2312" w:cs="宋体" w:hAnsi="宋体"/>
          <w:sz w:val="32"/>
          <w:szCs w:val="32"/>
        </w:rPr>
        <w:t>166.22</w:t>
      </w:r>
      <w:r>
        <w:rPr>
          <w:rFonts w:ascii="仿宋_GB2312" w:eastAsia="仿宋_GB2312" w:cs="宋体" w:hAnsi="宋体" w:hint="eastAsia"/>
          <w:sz w:val="32"/>
          <w:szCs w:val="32"/>
        </w:rPr>
        <w:t>万元；项目支出</w:t>
      </w:r>
      <w:r>
        <w:rPr>
          <w:rFonts w:ascii="仿宋_GB2312" w:eastAsia="仿宋_GB2312" w:cs="宋体" w:hAnsi="宋体"/>
          <w:sz w:val="32"/>
          <w:szCs w:val="32"/>
        </w:rPr>
        <w:t>465.54</w:t>
      </w:r>
      <w:r>
        <w:rPr>
          <w:rFonts w:ascii="仿宋_GB2312" w:eastAsia="仿宋_GB2312" w:cs="宋体" w:hAnsi="宋体" w:hint="eastAsia"/>
          <w:sz w:val="32"/>
          <w:szCs w:val="32"/>
        </w:rPr>
        <w:t>万元，</w:t>
      </w:r>
      <w:r>
        <w:rPr>
          <w:rFonts w:ascii="仿宋_GB2312" w:eastAsia="仿宋_GB2312" w:cs="宋体" w:hAnsi="宋体" w:hint="eastAsia"/>
          <w:sz w:val="32"/>
          <w:szCs w:val="32"/>
          <w:lang w:val="en-US" w:eastAsia="zh-CN"/>
        </w:rPr>
        <w:t>包括本级支出465.54万元，</w:t>
      </w:r>
      <w:r>
        <w:rPr>
          <w:rFonts w:ascii="仿宋_GB2312" w:eastAsia="仿宋_GB2312" w:cs="宋体" w:hAnsi="宋体" w:hint="eastAsia"/>
          <w:sz w:val="32"/>
          <w:szCs w:val="32"/>
        </w:rPr>
        <w:t>主要为纪律审查、巡察工作、乡镇纪律审查经费等。</w:t>
      </w:r>
    </w:p>
    <w:p>
      <w:pPr>
        <w:ind w:firstLineChars="200" w:firstLine="640"/>
        <w:rPr>
          <w:rFonts w:ascii="楷体_GB2312" w:eastAsia="楷体_GB2312" w:cs="楷体" w:hAnsi="楷体"/>
          <w:b/>
          <w:sz w:val="32"/>
          <w:szCs w:val="32"/>
        </w:rPr>
      </w:pPr>
      <w:r>
        <w:rPr>
          <w:rFonts w:ascii="楷体_GB2312" w:eastAsia="楷体_GB2312" w:cs="楷体" w:hAnsi="楷体"/>
          <w:b/>
          <w:sz w:val="32"/>
          <w:szCs w:val="32"/>
        </w:rPr>
        <w:t>3</w:t>
      </w:r>
      <w:r>
        <w:rPr>
          <w:rFonts w:ascii="楷体_GB2312" w:eastAsia="楷体_GB2312" w:cs="楷体" w:hAnsi="楷体" w:hint="eastAsia"/>
          <w:b/>
          <w:sz w:val="32"/>
          <w:szCs w:val="32"/>
        </w:rPr>
        <w:t>、比上年增减情况</w:t>
      </w:r>
    </w:p>
    <w:p>
      <w:pPr>
        <w:ind w:firstLine="640"/>
        <w:rPr>
          <w:rFonts w:ascii="仿宋_GB2312" w:eastAsia="仿宋_GB2312" w:cs="宋体" w:hAnsi="宋体"/>
          <w:sz w:val="32"/>
          <w:szCs w:val="32"/>
        </w:rPr>
      </w:pPr>
      <w:r>
        <w:rPr>
          <w:rFonts w:ascii="仿宋_GB2312" w:eastAsia="仿宋_GB2312" w:cs="宋体" w:hAnsi="宋体"/>
          <w:sz w:val="32"/>
          <w:szCs w:val="32"/>
        </w:rPr>
        <w:t>2019</w:t>
      </w:r>
      <w:r>
        <w:rPr>
          <w:rFonts w:ascii="仿宋_GB2312" w:eastAsia="仿宋_GB2312" w:cs="宋体" w:hAnsi="宋体" w:hint="eastAsia"/>
          <w:sz w:val="32"/>
          <w:szCs w:val="32"/>
        </w:rPr>
        <w:t>年预算收支安排</w:t>
      </w:r>
      <w:r>
        <w:rPr>
          <w:rFonts w:ascii="仿宋_GB2312" w:eastAsia="仿宋_GB2312" w:cs="宋体" w:hAnsi="宋体"/>
          <w:sz w:val="32"/>
          <w:szCs w:val="32"/>
        </w:rPr>
        <w:t>2037.66</w:t>
      </w:r>
      <w:r>
        <w:rPr>
          <w:rFonts w:ascii="仿宋_GB2312" w:eastAsia="仿宋_GB2312" w:cs="宋体" w:hAnsi="宋体" w:hint="eastAsia"/>
          <w:sz w:val="32"/>
          <w:szCs w:val="32"/>
        </w:rPr>
        <w:t>万元，较</w:t>
      </w:r>
      <w:r>
        <w:rPr>
          <w:rFonts w:ascii="仿宋_GB2312" w:eastAsia="仿宋_GB2312" w:cs="宋体" w:hAnsi="宋体"/>
          <w:sz w:val="32"/>
          <w:szCs w:val="32"/>
        </w:rPr>
        <w:t>2018</w:t>
      </w:r>
      <w:r>
        <w:rPr>
          <w:rFonts w:ascii="仿宋_GB2312" w:eastAsia="仿宋_GB2312" w:cs="宋体" w:hAnsi="宋体" w:hint="eastAsia"/>
          <w:sz w:val="32"/>
          <w:szCs w:val="32"/>
        </w:rPr>
        <w:t>年预算增加</w:t>
      </w:r>
      <w:r>
        <w:rPr>
          <w:rFonts w:ascii="仿宋_GB2312" w:eastAsia="仿宋_GB2312" w:cs="宋体" w:hAnsi="宋体"/>
          <w:sz w:val="32"/>
          <w:szCs w:val="32"/>
        </w:rPr>
        <w:t>31.23</w:t>
      </w:r>
      <w:r>
        <w:rPr>
          <w:rFonts w:ascii="仿宋_GB2312" w:eastAsia="仿宋_GB2312" w:cs="宋体" w:hAnsi="宋体" w:hint="eastAsia"/>
          <w:sz w:val="32"/>
          <w:szCs w:val="32"/>
        </w:rPr>
        <w:t>万元，其中：基本支出增加</w:t>
      </w:r>
      <w:r>
        <w:rPr>
          <w:rFonts w:ascii="仿宋_GB2312" w:eastAsia="仿宋_GB2312" w:cs="宋体" w:hAnsi="宋体"/>
          <w:sz w:val="32"/>
          <w:szCs w:val="32"/>
        </w:rPr>
        <w:t>9.36</w:t>
      </w:r>
      <w:r>
        <w:rPr>
          <w:rFonts w:ascii="仿宋_GB2312" w:eastAsia="仿宋_GB2312" w:cs="宋体" w:hAnsi="宋体" w:hint="eastAsia"/>
          <w:sz w:val="32"/>
          <w:szCs w:val="32"/>
        </w:rPr>
        <w:t>万元，主要为增加人员经费支出；项目支出增加</w:t>
      </w:r>
      <w:r>
        <w:rPr>
          <w:rFonts w:ascii="仿宋_GB2312" w:eastAsia="仿宋_GB2312" w:cs="宋体" w:hAnsi="宋体"/>
          <w:sz w:val="32"/>
          <w:szCs w:val="32"/>
        </w:rPr>
        <w:t>21.87</w:t>
      </w:r>
      <w:r>
        <w:rPr>
          <w:rFonts w:ascii="仿宋_GB2312" w:eastAsia="仿宋_GB2312" w:cs="宋体" w:hAnsi="宋体" w:hint="eastAsia"/>
          <w:sz w:val="32"/>
          <w:szCs w:val="32"/>
        </w:rPr>
        <w:t>万元，主要为乡镇纪律审查项目和八一退役军人慰问项目支出。</w:t>
      </w:r>
    </w:p>
    <w:p>
      <w:pPr>
        <w:autoSpaceDE w:val="0"/>
        <w:autoSpaceDN w:val="0"/>
        <w:adjustRightInd w:val="0"/>
        <w:ind w:left="198" w:firstLineChars="200" w:firstLine="640"/>
        <w:jc w:val="left"/>
        <w:rPr>
          <w:rFonts w:ascii="黑体" w:eastAsia="黑体" w:hAnsi="黑体"/>
          <w:sz w:val="32"/>
          <w:szCs w:val="32"/>
        </w:rPr>
      </w:pPr>
      <w:r>
        <w:rPr>
          <w:rFonts w:ascii="黑体" w:eastAsia="黑体" w:hAnsi="黑体" w:hint="eastAsia"/>
          <w:sz w:val="32"/>
          <w:szCs w:val="32"/>
        </w:rPr>
        <w:t>三、机关运行经费安排情况</w:t>
      </w:r>
    </w:p>
    <w:p>
      <w:pPr>
        <w:ind w:firstLine="640"/>
        <w:rPr>
          <w:rFonts w:ascii="仿宋_GB2312" w:eastAsia="仿宋_GB2312" w:cs="宋体" w:hAnsi="宋体"/>
          <w:sz w:val="32"/>
          <w:szCs w:val="32"/>
        </w:rPr>
      </w:pPr>
      <w:r>
        <w:rPr>
          <w:rFonts w:ascii="仿宋_GB2312" w:eastAsia="仿宋_GB2312" w:cs="宋体" w:hAnsi="宋体" w:hint="eastAsia"/>
          <w:sz w:val="32"/>
          <w:szCs w:val="32"/>
        </w:rPr>
        <w:t>机关运行经费共计安排</w:t>
      </w:r>
      <w:r>
        <w:rPr>
          <w:rFonts w:ascii="仿宋_GB2312" w:eastAsia="仿宋_GB2312" w:cs="宋体" w:hAnsi="宋体"/>
          <w:sz w:val="32"/>
          <w:szCs w:val="32"/>
        </w:rPr>
        <w:t>166.22</w:t>
      </w:r>
      <w:r>
        <w:rPr>
          <w:rFonts w:ascii="仿宋_GB2312" w:eastAsia="仿宋_GB2312" w:cs="宋体" w:hAnsi="宋体" w:hint="eastAsia"/>
          <w:sz w:val="32"/>
          <w:szCs w:val="32"/>
        </w:rPr>
        <w:t>万元，主要用于机关办公区的日常维修、办公用房水电费、办公用房取暖费、办公用房物业管理费等日常运行支出。</w:t>
      </w:r>
    </w:p>
    <w:p>
      <w:pPr>
        <w:autoSpaceDE w:val="0"/>
        <w:autoSpaceDN w:val="0"/>
        <w:adjustRightInd w:val="0"/>
        <w:ind w:left="198" w:firstLineChars="200" w:firstLine="640"/>
        <w:jc w:val="left"/>
        <w:rPr>
          <w:rFonts w:ascii="黑体" w:eastAsia="黑体" w:hAnsi="黑体"/>
          <w:sz w:val="32"/>
          <w:szCs w:val="32"/>
        </w:rPr>
      </w:pPr>
      <w:r>
        <w:rPr>
          <w:rFonts w:ascii="黑体" w:eastAsia="黑体" w:hAnsi="黑体" w:hint="eastAsia"/>
          <w:sz w:val="32"/>
          <w:szCs w:val="32"/>
        </w:rPr>
        <w:t>四、财政拨款“三公”经费预算情况及增减变化原因</w:t>
      </w:r>
    </w:p>
    <w:p>
      <w:pPr>
        <w:ind w:firstLine="640"/>
        <w:rPr>
          <w:rFonts w:ascii="仿宋_GB2312" w:eastAsia="仿宋_GB2312" w:cs="宋体" w:hAnsi="宋体"/>
          <w:sz w:val="32"/>
          <w:szCs w:val="32"/>
        </w:rPr>
      </w:pPr>
      <w:r>
        <w:rPr>
          <w:rFonts w:ascii="仿宋_GB2312" w:eastAsia="仿宋_GB2312" w:cs="宋体" w:hAnsi="宋体"/>
          <w:sz w:val="32"/>
          <w:szCs w:val="32"/>
        </w:rPr>
        <w:t>2019</w:t>
      </w:r>
      <w:r>
        <w:rPr>
          <w:rFonts w:ascii="仿宋_GB2312" w:eastAsia="仿宋_GB2312" w:cs="宋体" w:hAnsi="宋体" w:hint="eastAsia"/>
          <w:sz w:val="32"/>
          <w:szCs w:val="32"/>
        </w:rPr>
        <w:t>年，我单位“三公”经费预算安排</w:t>
      </w:r>
      <w:r>
        <w:rPr>
          <w:rFonts w:ascii="仿宋_GB2312" w:eastAsia="仿宋_GB2312" w:cs="宋体" w:hAnsi="宋体"/>
          <w:sz w:val="32"/>
          <w:szCs w:val="32"/>
        </w:rPr>
        <w:t>3.72</w:t>
      </w:r>
      <w:r>
        <w:rPr>
          <w:rFonts w:ascii="仿宋_GB2312" w:eastAsia="仿宋_GB2312" w:cs="宋体" w:hAnsi="宋体" w:hint="eastAsia"/>
          <w:sz w:val="32"/>
          <w:szCs w:val="32"/>
        </w:rPr>
        <w:t>万元，其中因公出国（境）费</w:t>
      </w:r>
      <w:r>
        <w:rPr>
          <w:rFonts w:ascii="仿宋_GB2312" w:eastAsia="仿宋_GB2312" w:cs="宋体" w:hAnsi="宋体"/>
          <w:sz w:val="32"/>
          <w:szCs w:val="32"/>
        </w:rPr>
        <w:t>0</w:t>
      </w:r>
      <w:r>
        <w:rPr>
          <w:rFonts w:ascii="仿宋_GB2312" w:eastAsia="仿宋_GB2312" w:cs="宋体" w:hAnsi="宋体" w:hint="eastAsia"/>
          <w:sz w:val="32"/>
          <w:szCs w:val="32"/>
        </w:rPr>
        <w:t>万元；公务用车购置及运维费</w:t>
      </w:r>
      <w:r>
        <w:rPr>
          <w:rFonts w:ascii="仿宋_GB2312" w:eastAsia="仿宋_GB2312" w:cs="宋体" w:hAnsi="宋体"/>
          <w:sz w:val="32"/>
          <w:szCs w:val="32"/>
        </w:rPr>
        <w:t>3.2</w:t>
      </w:r>
      <w:r>
        <w:rPr>
          <w:rFonts w:ascii="仿宋_GB2312" w:eastAsia="仿宋_GB2312" w:cs="宋体" w:hAnsi="宋体" w:hint="eastAsia"/>
          <w:sz w:val="32"/>
          <w:szCs w:val="32"/>
        </w:rPr>
        <w:t>万元（其中：公务用车购置费为</w:t>
      </w:r>
      <w:r>
        <w:rPr>
          <w:rFonts w:ascii="仿宋_GB2312" w:eastAsia="仿宋_GB2312" w:cs="宋体" w:hAnsi="宋体"/>
          <w:sz w:val="32"/>
          <w:szCs w:val="32"/>
        </w:rPr>
        <w:t>0</w:t>
      </w:r>
      <w:r>
        <w:rPr>
          <w:rFonts w:ascii="仿宋_GB2312" w:eastAsia="仿宋_GB2312" w:cs="宋体" w:hAnsi="宋体" w:hint="eastAsia"/>
          <w:sz w:val="32"/>
          <w:szCs w:val="32"/>
        </w:rPr>
        <w:t>万元，公务用车运维费</w:t>
      </w:r>
      <w:r>
        <w:rPr>
          <w:rFonts w:ascii="仿宋_GB2312" w:eastAsia="仿宋_GB2312" w:cs="宋体" w:hAnsi="宋体"/>
          <w:sz w:val="32"/>
          <w:szCs w:val="32"/>
        </w:rPr>
        <w:t>3.2</w:t>
      </w:r>
      <w:r>
        <w:rPr>
          <w:rFonts w:ascii="仿宋_GB2312" w:eastAsia="仿宋_GB2312" w:cs="宋体" w:hAnsi="宋体" w:hint="eastAsia"/>
          <w:sz w:val="32"/>
          <w:szCs w:val="32"/>
        </w:rPr>
        <w:t>万元）；公务接待费</w:t>
      </w:r>
      <w:r>
        <w:rPr>
          <w:rFonts w:ascii="仿宋_GB2312" w:eastAsia="仿宋_GB2312" w:cs="宋体" w:hAnsi="宋体"/>
          <w:sz w:val="32"/>
          <w:szCs w:val="32"/>
        </w:rPr>
        <w:t>0.52</w:t>
      </w:r>
      <w:r>
        <w:rPr>
          <w:rFonts w:ascii="仿宋_GB2312" w:eastAsia="仿宋_GB2312" w:cs="宋体" w:hAnsi="宋体" w:hint="eastAsia"/>
          <w:sz w:val="32"/>
          <w:szCs w:val="32"/>
        </w:rPr>
        <w:t>万元。与</w:t>
      </w:r>
      <w:r>
        <w:rPr>
          <w:rFonts w:ascii="仿宋_GB2312" w:eastAsia="仿宋_GB2312" w:cs="宋体" w:hAnsi="宋体"/>
          <w:sz w:val="32"/>
          <w:szCs w:val="32"/>
        </w:rPr>
        <w:t>2018</w:t>
      </w:r>
      <w:r>
        <w:rPr>
          <w:rFonts w:ascii="仿宋_GB2312" w:eastAsia="仿宋_GB2312" w:cs="宋体" w:hAnsi="宋体" w:hint="eastAsia"/>
          <w:sz w:val="32"/>
          <w:szCs w:val="32"/>
        </w:rPr>
        <w:t>年持平，无增减变化，主要原因是我单位</w:t>
      </w:r>
      <w:r>
        <w:rPr>
          <w:rFonts w:ascii="仿宋_GB2312" w:eastAsia="仿宋_GB2312" w:cs="宋体" w:hAnsi="宋体"/>
          <w:sz w:val="32"/>
          <w:szCs w:val="32"/>
        </w:rPr>
        <w:t>2019</w:t>
      </w:r>
      <w:r>
        <w:rPr>
          <w:rFonts w:ascii="仿宋_GB2312" w:eastAsia="仿宋_GB2312" w:cs="宋体" w:hAnsi="宋体" w:hint="eastAsia"/>
          <w:sz w:val="32"/>
          <w:szCs w:val="32"/>
        </w:rPr>
        <w:t>年公务用车数量与上年一致无变化。</w:t>
      </w:r>
    </w:p>
    <w:p>
      <w:pPr>
        <w:ind w:firstLine="640"/>
        <w:rPr>
          <w:rFonts w:ascii="黑体" w:eastAsia="黑体" w:hAnsi="黑体"/>
          <w:sz w:val="32"/>
          <w:szCs w:val="32"/>
        </w:rPr>
      </w:pPr>
      <w:r>
        <w:rPr>
          <w:rFonts w:ascii="黑体" w:eastAsia="黑体" w:hAnsi="黑体" w:hint="eastAsia"/>
          <w:sz w:val="32"/>
          <w:szCs w:val="32"/>
        </w:rPr>
        <w:t>五、绩效预算信息</w:t>
      </w:r>
    </w:p>
    <w:p>
      <w:pPr>
        <w:ind w:firstLineChars="200" w:firstLine="640"/>
        <w:jc w:val="left"/>
        <w:rPr>
          <w:rFonts w:ascii="楷体_GB2312" w:eastAsia="楷体_GB2312" w:hAnsi="Times New Roman"/>
          <w:b/>
          <w:sz w:val="32"/>
          <w:szCs w:val="32"/>
        </w:rPr>
      </w:pPr>
      <w:bookmarkStart w:id="1" w:name="_Toc471398463"/>
      <w:r>
        <w:rPr>
          <w:rFonts w:ascii="楷体_GB2312" w:eastAsia="楷体_GB2312" w:cs="楷体" w:hAnsi="楷体" w:hint="eastAsia"/>
          <w:b/>
          <w:sz w:val="32"/>
          <w:szCs w:val="32"/>
        </w:rPr>
        <w:t>总体绩效目标</w:t>
      </w:r>
      <w:r>
        <w:rPr>
          <w:rFonts w:ascii="楷体_GB2312" w:eastAsia="楷体_GB2312" w:cs="宋体" w:hAnsi="宋体" w:hint="eastAsia"/>
          <w:b/>
          <w:sz w:val="32"/>
          <w:szCs w:val="32"/>
        </w:rPr>
        <w:t>：</w:t>
      </w:r>
    </w:p>
    <w:p>
      <w:pPr>
        <w:ind w:firstLineChars="200" w:firstLine="640"/>
        <w:jc w:val="left"/>
        <w:outlineLvl w:val="0"/>
        <w:rPr>
          <w:rFonts w:ascii="仿宋_GB2312" w:eastAsia="仿宋_GB2312" w:cs="宋体" w:hAnsi="宋体"/>
          <w:sz w:val="32"/>
          <w:szCs w:val="32"/>
        </w:rPr>
      </w:pPr>
      <w:r>
        <w:rPr>
          <w:rFonts w:ascii="仿宋_GB2312" w:eastAsia="仿宋_GB2312" w:cs="宋体" w:hAnsi="宋体" w:hint="eastAsia"/>
          <w:sz w:val="32"/>
          <w:szCs w:val="32"/>
        </w:rPr>
        <w:t>维护党纪国法尊严，坚决惩处腐败分子，有效遏制腐败现象。积极发挥职能作用，加强党风廉政建设，营造风清气正、干事创业的工作氛围。</w:t>
      </w:r>
    </w:p>
    <w:p>
      <w:pPr>
        <w:ind w:firstLineChars="200" w:firstLine="640"/>
        <w:jc w:val="left"/>
        <w:outlineLvl w:val="0"/>
        <w:rPr>
          <w:rFonts w:ascii="楷体_GB2312" w:eastAsia="楷体_GB2312" w:hAnsi="Times New Roman"/>
          <w:b/>
          <w:sz w:val="32"/>
          <w:szCs w:val="24"/>
        </w:rPr>
      </w:pPr>
      <w:r>
        <w:rPr>
          <w:rFonts w:ascii="楷体_GB2312" w:eastAsia="楷体_GB2312" w:hAnsi="黑体" w:hint="eastAsia"/>
          <w:b/>
          <w:sz w:val="32"/>
          <w:szCs w:val="32"/>
        </w:rPr>
        <w:t>部门职责及工作活动绩效目标指标：</w:t>
      </w:r>
    </w:p>
    <w:p>
      <w:pPr>
        <w:jc w:val="center"/>
        <w:outlineLvl w:val="0"/>
        <w:rPr>
          <w:rFonts w:ascii="?????_GBK" w:eastAsia="Times New Roman" w:hAnsi="Times New Roman"/>
          <w:sz w:val="32"/>
          <w:szCs w:val="24"/>
        </w:rPr>
      </w:pPr>
    </w:p>
    <w:p>
      <w:pPr>
        <w:jc w:val="center"/>
        <w:outlineLvl w:val="0"/>
        <w:rPr>
          <w:rFonts w:ascii="?????_GBK" w:eastAsia="Times New Roman" w:hAnsi="Times New Roman"/>
          <w:sz w:val="32"/>
          <w:szCs w:val="24"/>
        </w:rPr>
      </w:pPr>
      <w:r>
        <w:rPr>
          <w:rFonts w:ascii="?????_GBK" w:eastAsia="Times New Roman" w:hAnsi="Times New Roman"/>
          <w:sz w:val="32"/>
          <w:szCs w:val="24"/>
        </w:rPr>
        <w:t>部门职责-工作活动绩效目标</w:t>
      </w:r>
      <w:bookmarkEnd w:id="1"/>
    </w:p>
    <w:tbl>
      <w:tblPr>
        <w:jc w:val="center"/>
        <w:tblW w:w="141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2341"/>
        <w:gridCol w:w="1276"/>
        <w:gridCol w:w="3196"/>
        <w:gridCol w:w="2976"/>
        <w:gridCol w:w="1417"/>
        <w:gridCol w:w="737"/>
        <w:gridCol w:w="737"/>
        <w:gridCol w:w="737"/>
        <w:gridCol w:w="737"/>
      </w:tblGrid>
      <w:tr>
        <w:trPr>
          <w:trHeight w:val="227"/>
          <w:tblHeader/>
        </w:trPr>
        <w:tc>
          <w:tcPr>
            <w:tcW w:w="11206" w:type="dxa"/>
            <w:gridSpan w:val="5"/>
            <w:tcBorders>
              <w:top w:val="single" w:sz="6" w:space="0" w:color="FFFFFF"/>
              <w:left w:val="single" w:sz="6" w:space="0" w:color="FFFFFF"/>
              <w:right w:val="single" w:sz="6" w:space="0" w:color="FFFFFF"/>
            </w:tcBorders>
            <w:vAlign w:val="center"/>
          </w:tcPr>
          <w:p>
            <w:pPr>
              <w:spacing w:line="300" w:lineRule="exact"/>
              <w:jc w:val="left"/>
              <w:rPr>
                <w:rFonts w:ascii="?????_GBK" w:eastAsia="Times New Roman" w:hAnsi="Times New Roman"/>
                <w:sz w:val="18"/>
                <w:szCs w:val="18"/>
              </w:rPr>
            </w:pPr>
            <w:r>
              <w:rPr>
                <w:rFonts w:ascii="宋体" w:cs="宋体" w:hAnsi="宋体"/>
                <w:kern w:val="0"/>
                <w:sz w:val="22"/>
              </w:rPr>
              <w:t>222</w:t>
            </w:r>
            <w:r>
              <w:rPr>
                <w:rFonts w:ascii="宋体" w:cs="宋体" w:hAnsi="宋体" w:hint="eastAsia"/>
                <w:kern w:val="0"/>
                <w:sz w:val="22"/>
              </w:rPr>
              <w:t>中国共产党永清县纪律检查委员会永清县监察委员会</w:t>
            </w:r>
          </w:p>
        </w:tc>
        <w:tc>
          <w:tcPr>
            <w:tcW w:w="2948" w:type="dxa"/>
            <w:gridSpan w:val="4"/>
            <w:tcBorders>
              <w:top w:val="single" w:sz="6" w:space="0" w:color="FFFFFF"/>
              <w:left w:val="single" w:sz="6" w:space="0" w:color="FFFFFF"/>
              <w:right w:val="single" w:sz="6" w:space="0" w:color="FFFFFF"/>
            </w:tcBorders>
            <w:vAlign w:val="center"/>
          </w:tcPr>
          <w:p>
            <w:pPr>
              <w:spacing w:line="300" w:lineRule="exact"/>
              <w:jc w:val="right"/>
              <w:rPr>
                <w:rFonts w:ascii="方正书宋_GBK" w:eastAsia="方正书宋_GBK" w:hAnsi="Times New Roman"/>
                <w:sz w:val="18"/>
                <w:szCs w:val="18"/>
              </w:rPr>
            </w:pPr>
            <w:r>
              <w:rPr>
                <w:rFonts w:ascii="方正书宋_GBK" w:eastAsia="方正书宋_GBK" w:hAnsi="Times New Roman" w:hint="eastAsia"/>
                <w:sz w:val="18"/>
                <w:szCs w:val="18"/>
              </w:rPr>
              <w:t>单位：万元</w:t>
            </w:r>
          </w:p>
        </w:tc>
      </w:tr>
      <w:tr>
        <w:trPr>
          <w:trHeight w:val="227"/>
          <w:tblHeader/>
        </w:trPr>
        <w:tc>
          <w:tcPr>
            <w:tcW w:w="2341" w:type="dxa"/>
            <w:vMerge w:val="restart"/>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职责活动</w:t>
            </w:r>
          </w:p>
        </w:tc>
        <w:tc>
          <w:tcPr>
            <w:tcW w:w="1276" w:type="dxa"/>
            <w:vMerge w:val="restart"/>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年度预算数</w:t>
            </w:r>
          </w:p>
        </w:tc>
        <w:tc>
          <w:tcPr>
            <w:tcW w:w="3196" w:type="dxa"/>
            <w:vMerge w:val="restart"/>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内容描述</w:t>
            </w:r>
          </w:p>
        </w:tc>
        <w:tc>
          <w:tcPr>
            <w:tcW w:w="2976" w:type="dxa"/>
            <w:vMerge w:val="restart"/>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绩效目标</w:t>
            </w:r>
          </w:p>
        </w:tc>
        <w:tc>
          <w:tcPr>
            <w:tcW w:w="1417" w:type="dxa"/>
            <w:vMerge w:val="restart"/>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绩效指标</w:t>
            </w:r>
          </w:p>
        </w:tc>
        <w:tc>
          <w:tcPr>
            <w:tcW w:w="2948" w:type="dxa"/>
            <w:gridSpan w:val="4"/>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评价标准</w:t>
            </w:r>
          </w:p>
        </w:tc>
      </w:tr>
      <w:tr>
        <w:trPr>
          <w:trHeight w:val="227"/>
          <w:tblHeader/>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vMerge/>
            <w:tcBorders>
              <w:left w:val="single" w:sz="6" w:space="0" w:color="000000"/>
            </w:tcBorders>
            <w:vAlign w:val="center"/>
          </w:tcPr>
          <w:p/>
        </w:tc>
        <w:tc>
          <w:tcPr>
            <w:tcW w:w="737" w:type="dxa"/>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优</w:t>
            </w:r>
          </w:p>
        </w:tc>
        <w:tc>
          <w:tcPr>
            <w:tcW w:w="737" w:type="dxa"/>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良</w:t>
            </w:r>
          </w:p>
        </w:tc>
        <w:tc>
          <w:tcPr>
            <w:tcW w:w="737" w:type="dxa"/>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中</w:t>
            </w:r>
          </w:p>
        </w:tc>
        <w:tc>
          <w:tcPr>
            <w:tcW w:w="737" w:type="dxa"/>
            <w:tcBorders>
              <w:left w:val="single" w:sz="6" w:space="0" w:color="000000"/>
            </w:tcBorders>
            <w:vAlign w:val="center"/>
          </w:tcPr>
          <w:p>
            <w:pPr>
              <w:spacing w:line="300" w:lineRule="exact"/>
              <w:jc w:val="center"/>
              <w:rPr>
                <w:rFonts w:ascii="方正书宋_GBK" w:eastAsia="方正书宋_GBK" w:hAnsi="Times New Roman"/>
                <w:b/>
                <w:sz w:val="18"/>
                <w:szCs w:val="18"/>
              </w:rPr>
            </w:pPr>
            <w:r>
              <w:rPr>
                <w:rFonts w:ascii="方正书宋_GBK" w:eastAsia="方正书宋_GBK" w:hAnsi="Times New Roman" w:hint="eastAsia"/>
                <w:b/>
                <w:sz w:val="18"/>
                <w:szCs w:val="18"/>
              </w:rPr>
              <w:t>差</w:t>
            </w:r>
          </w:p>
        </w:tc>
      </w:tr>
      <w:tr>
        <w:trPr>
          <w:trHeight w:val="510"/>
        </w:trPr>
        <w:tc>
          <w:tcPr>
            <w:tcW w:w="2341" w:type="dxa"/>
            <w:vAlign w:val="center"/>
          </w:tcPr>
          <w:p>
            <w:pPr>
              <w:widowControl/>
              <w:jc w:val="center"/>
              <w:textAlignment w:val="center"/>
              <w:rPr>
                <w:rFonts w:ascii="方正书宋_GBK" w:eastAsia="方正书宋_GBK" w:hAnsi="Times New Roman"/>
                <w:b/>
                <w:sz w:val="18"/>
                <w:szCs w:val="18"/>
              </w:rPr>
            </w:pPr>
            <w:r>
              <w:rPr>
                <w:rFonts w:ascii="宋体" w:cs="宋体" w:hAnsi="宋体" w:hint="eastAsia"/>
                <w:color w:val="000000"/>
                <w:kern w:val="0"/>
                <w:sz w:val="18"/>
                <w:szCs w:val="18"/>
              </w:rPr>
              <w:t>一、办案问责</w:t>
            </w:r>
          </w:p>
        </w:tc>
        <w:tc>
          <w:tcPr>
            <w:tcW w:w="12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415</w:t>
            </w:r>
          </w:p>
        </w:tc>
        <w:tc>
          <w:tcPr>
            <w:tcW w:w="319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受理信访、举报，集中管理问题线索、组织协调案件查办，调查、审查违纪违法案件，对案件审理提出处理意见。</w:t>
            </w:r>
          </w:p>
        </w:tc>
        <w:tc>
          <w:tcPr>
            <w:tcW w:w="29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维护党纪国法尊严，坚决惩处腐败分子，有效遏制腐败现象。</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r>
      <w:tr>
        <w:trPr>
          <w:trHeight w:val="510"/>
        </w:trPr>
        <w:tc>
          <w:tcPr>
            <w:tcW w:w="2341" w:type="dxa"/>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1</w:t>
            </w:r>
            <w:r>
              <w:rPr>
                <w:rFonts w:ascii="宋体" w:cs="宋体" w:hAnsi="宋体" w:hint="eastAsia"/>
                <w:color w:val="000000"/>
                <w:kern w:val="0"/>
                <w:sz w:val="18"/>
                <w:szCs w:val="18"/>
              </w:rPr>
              <w:t>、案件查办</w:t>
            </w:r>
          </w:p>
        </w:tc>
        <w:tc>
          <w:tcPr>
            <w:tcW w:w="1276" w:type="dxa"/>
            <w:tcBorders>
              <w:left w:val="single" w:sz="6" w:space="0" w:color="000000"/>
            </w:tcBorders>
            <w:vAlign w:val="center"/>
          </w:tcPr>
          <w:p>
            <w:pPr>
              <w:spacing w:line="300" w:lineRule="exact"/>
              <w:jc w:val="center"/>
              <w:rPr>
                <w:rFonts w:ascii="方正书宋_GBK" w:eastAsia="方正书宋_GBK" w:hAnsi="Times New Roman"/>
                <w:sz w:val="18"/>
                <w:szCs w:val="18"/>
              </w:rPr>
            </w:pPr>
          </w:p>
        </w:tc>
        <w:tc>
          <w:tcPr>
            <w:tcW w:w="319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对有关对象违反党纪政纪和违纪违法行为进行处理；组织协调案件查办工作</w:t>
            </w:r>
            <w:r>
              <w:rPr>
                <w:rFonts w:ascii="方正书宋_GBK" w:eastAsia="方正书宋_GBK" w:hAnsi="Times New Roman"/>
                <w:sz w:val="18"/>
                <w:szCs w:val="18"/>
              </w:rPr>
              <w:t>;</w:t>
            </w:r>
            <w:r>
              <w:rPr>
                <w:rFonts w:ascii="方正书宋_GBK" w:eastAsia="方正书宋_GBK" w:hAnsi="Times New Roman" w:hint="eastAsia"/>
                <w:sz w:val="18"/>
                <w:szCs w:val="18"/>
              </w:rPr>
              <w:t>承担县监察局的行政复议、行政应诉及有关条规的起草工作</w:t>
            </w:r>
          </w:p>
        </w:tc>
        <w:tc>
          <w:tcPr>
            <w:tcW w:w="29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维护党纪国法尊严，坚决惩处腐败分子，有效遏制腐败现象。</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查办案件数</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50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30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20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10</w:t>
            </w:r>
            <w:r>
              <w:rPr>
                <w:rFonts w:ascii="Times New Roman" w:eastAsia="方正书宋_GBK" w:hAnsi="Times New Roman" w:hint="eastAsia"/>
                <w:sz w:val="18"/>
                <w:szCs w:val="18"/>
              </w:rPr>
              <w:t>以下</w:t>
            </w:r>
          </w:p>
        </w:tc>
      </w:tr>
      <w:tr>
        <w:trPr>
          <w:trHeight w:val="400"/>
        </w:trPr>
        <w:tc>
          <w:tcPr>
            <w:tcW w:w="2341" w:type="dxa"/>
            <w:vMerge w:val="restart"/>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2</w:t>
            </w:r>
            <w:r>
              <w:rPr>
                <w:rFonts w:ascii="宋体" w:cs="宋体" w:hAnsi="宋体" w:hint="eastAsia"/>
                <w:color w:val="000000"/>
                <w:kern w:val="0"/>
                <w:sz w:val="18"/>
                <w:szCs w:val="18"/>
              </w:rPr>
              <w:t>、纪律审查</w:t>
            </w:r>
          </w:p>
        </w:tc>
        <w:tc>
          <w:tcPr>
            <w:tcW w:w="12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415</w:t>
            </w:r>
          </w:p>
        </w:tc>
        <w:tc>
          <w:tcPr>
            <w:tcW w:w="319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对有关对象违反党纪政纪和违纪违法行为进行处理；组织协调案件查办工作</w:t>
            </w:r>
            <w:r>
              <w:rPr>
                <w:rFonts w:ascii="方正书宋_GBK" w:eastAsia="方正书宋_GBK" w:hAnsi="Times New Roman"/>
                <w:sz w:val="18"/>
                <w:szCs w:val="18"/>
              </w:rPr>
              <w:t>;</w:t>
            </w:r>
            <w:r>
              <w:rPr>
                <w:rFonts w:ascii="方正书宋_GBK" w:eastAsia="方正书宋_GBK" w:hAnsi="Times New Roman" w:hint="eastAsia"/>
                <w:sz w:val="18"/>
                <w:szCs w:val="18"/>
              </w:rPr>
              <w:t>承担县监察局的行政复议、行政应诉及有关条规的起草工作</w:t>
            </w:r>
          </w:p>
        </w:tc>
        <w:tc>
          <w:tcPr>
            <w:tcW w:w="29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维护党纪国法尊严，坚决惩处腐败分子，有效遏制腐败现象。</w:t>
            </w:r>
          </w:p>
        </w:tc>
        <w:tc>
          <w:tcPr>
            <w:tcW w:w="1417" w:type="dxa"/>
            <w:tcBorders>
              <w:left w:val="single" w:sz="6" w:space="0" w:color="000000"/>
            </w:tcBorders>
            <w:vAlign w:val="center"/>
          </w:tcPr>
          <w:p>
            <w:pPr>
              <w:spacing w:line="300" w:lineRule="exact"/>
              <w:rPr>
                <w:rFonts w:ascii="Times New Roman" w:eastAsia="方正书宋_GBK" w:hAnsi="Times New Roman"/>
                <w:sz w:val="18"/>
                <w:szCs w:val="18"/>
              </w:rPr>
            </w:pPr>
            <w:r>
              <w:rPr>
                <w:rFonts w:ascii="Times New Roman" w:eastAsia="方正书宋_GBK" w:hAnsi="Times New Roman" w:hint="eastAsia"/>
                <w:sz w:val="18"/>
                <w:szCs w:val="18"/>
              </w:rPr>
              <w:t>执纪审查完成率</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Times New Roman" w:eastAsia="方正书宋_GBK" w:hAnsi="Times New Roman"/>
                <w:sz w:val="18"/>
                <w:szCs w:val="18"/>
              </w:rPr>
              <w:t>70%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Times New Roman" w:eastAsia="方正书宋_GBK" w:hAnsi="Times New Roman"/>
                <w:sz w:val="18"/>
                <w:szCs w:val="18"/>
              </w:rPr>
              <w:t>60%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Times New Roman" w:eastAsia="方正书宋_GBK" w:hAnsi="Times New Roman"/>
                <w:sz w:val="18"/>
                <w:szCs w:val="18"/>
              </w:rPr>
              <w:t>50%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50%</w:t>
            </w:r>
            <w:r>
              <w:rPr>
                <w:rFonts w:ascii="Times New Roman" w:eastAsia="方正书宋_GBK" w:hAnsi="Times New Roman" w:hint="eastAsia"/>
                <w:sz w:val="18"/>
                <w:szCs w:val="18"/>
              </w:rPr>
              <w:t>以下</w:t>
            </w:r>
          </w:p>
        </w:tc>
      </w:tr>
      <w:tr>
        <w:trPr>
          <w:trHeight w:val="4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rPr>
                <w:rFonts w:ascii="Times New Roman" w:eastAsia="方正书宋_GBK" w:hAnsi="Times New Roman"/>
                <w:sz w:val="18"/>
                <w:szCs w:val="18"/>
              </w:rPr>
            </w:pPr>
            <w:r>
              <w:rPr>
                <w:rFonts w:ascii="Times New Roman" w:eastAsia="方正书宋_GBK" w:hAnsi="Times New Roman" w:hint="eastAsia"/>
                <w:sz w:val="18"/>
                <w:szCs w:val="18"/>
              </w:rPr>
              <w:t>办理案件个数</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50</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30</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20</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Times New Roman" w:eastAsia="方正书宋_GBK" w:hAnsi="Times New Roman"/>
                <w:sz w:val="18"/>
                <w:szCs w:val="18"/>
              </w:rPr>
              <w:t>10</w:t>
            </w:r>
          </w:p>
        </w:tc>
      </w:tr>
      <w:tr>
        <w:trPr>
          <w:trHeight w:val="4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rPr>
                <w:rFonts w:ascii="Times New Roman" w:eastAsia="方正书宋_GBK" w:hAnsi="Times New Roman"/>
                <w:sz w:val="18"/>
                <w:szCs w:val="18"/>
              </w:rPr>
            </w:pPr>
            <w:r>
              <w:rPr>
                <w:rFonts w:ascii="Times New Roman" w:eastAsia="方正书宋_GBK" w:hAnsi="Times New Roman" w:hint="eastAsia"/>
                <w:sz w:val="18"/>
                <w:szCs w:val="18"/>
              </w:rPr>
              <w:t>审限结案率</w:t>
            </w:r>
            <w:r>
              <w:rPr>
                <w:rFonts w:ascii="Times New Roman" w:eastAsia="方正书宋_GBK" w:hAnsi="Times New Roman"/>
                <w:sz w:val="18"/>
                <w:szCs w:val="18"/>
              </w:rPr>
              <w:t>(%))</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90%</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80%</w:t>
            </w:r>
          </w:p>
        </w:tc>
        <w:tc>
          <w:tcPr>
            <w:tcW w:w="737" w:type="dxa"/>
            <w:tcBorders>
              <w:left w:val="single" w:sz="6" w:space="0" w:color="000000"/>
            </w:tcBorders>
            <w:vAlign w:val="center"/>
          </w:tcPr>
          <w:p>
            <w:pPr>
              <w:spacing w:line="300" w:lineRule="exact"/>
              <w:jc w:val="center"/>
              <w:rPr>
                <w:rFonts w:ascii="宋体" w:cs="宋体" w:hAnsi="宋体"/>
                <w:color w:val="000000"/>
                <w:kern w:val="0"/>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70%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color w:val="000000"/>
                <w:kern w:val="0"/>
                <w:sz w:val="18"/>
                <w:szCs w:val="18"/>
              </w:rPr>
              <w:t>&lt;70%</w:t>
            </w:r>
          </w:p>
        </w:tc>
      </w:tr>
      <w:tr>
        <w:trPr>
          <w:trHeight w:val="750"/>
        </w:trPr>
        <w:tc>
          <w:tcPr>
            <w:tcW w:w="2341" w:type="dxa"/>
            <w:vAlign w:val="center"/>
          </w:tcPr>
          <w:p>
            <w:pPr>
              <w:widowControl/>
              <w:jc w:val="center"/>
              <w:textAlignment w:val="center"/>
              <w:rPr>
                <w:rFonts w:ascii="宋体"/>
                <w:sz w:val="18"/>
                <w:szCs w:val="18"/>
              </w:rPr>
            </w:pPr>
            <w:r>
              <w:rPr>
                <w:rFonts w:ascii="宋体" w:hAnsi="宋体" w:hint="eastAsia"/>
                <w:sz w:val="18"/>
                <w:szCs w:val="18"/>
              </w:rPr>
              <w:t>二、党风廉政建设</w:t>
            </w:r>
          </w:p>
        </w:tc>
        <w:tc>
          <w:tcPr>
            <w:tcW w:w="12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0</w:t>
            </w:r>
          </w:p>
        </w:tc>
        <w:tc>
          <w:tcPr>
            <w:tcW w:w="319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组织协调全县党风廉政建设和反腐败宣传教育工作，开展对党员、公务员的廉洁自律教育。承担县委惩治和预防腐败体系领导小组办公室和县预防腐败局的日常工作</w:t>
            </w:r>
          </w:p>
        </w:tc>
        <w:tc>
          <w:tcPr>
            <w:tcW w:w="29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积极发挥职能作用，加强党风廉政建设，营造风清气正、干事创业的工作氛围。</w:t>
            </w:r>
          </w:p>
        </w:tc>
        <w:tc>
          <w:tcPr>
            <w:tcW w:w="141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r>
      <w:tr>
        <w:trPr>
          <w:trHeight w:val="500"/>
        </w:trPr>
        <w:tc>
          <w:tcPr>
            <w:tcW w:w="2341" w:type="dxa"/>
            <w:vMerge w:val="restart"/>
            <w:vAlign w:val="center"/>
          </w:tcPr>
          <w:p>
            <w:pPr>
              <w:widowControl/>
              <w:jc w:val="center"/>
              <w:textAlignment w:val="center"/>
              <w:rPr>
                <w:rFonts w:ascii="宋体"/>
                <w:sz w:val="18"/>
                <w:szCs w:val="18"/>
              </w:rPr>
            </w:pPr>
            <w:r>
              <w:rPr>
                <w:rFonts w:ascii="宋体" w:hAnsi="宋体"/>
                <w:sz w:val="18"/>
                <w:szCs w:val="18"/>
              </w:rPr>
              <w:t>1</w:t>
            </w:r>
            <w:r>
              <w:rPr>
                <w:rFonts w:ascii="宋体" w:hAnsi="宋体" w:hint="eastAsia"/>
                <w:sz w:val="18"/>
                <w:szCs w:val="18"/>
              </w:rPr>
              <w:t>、党风廉政建设</w:t>
            </w:r>
          </w:p>
        </w:tc>
        <w:tc>
          <w:tcPr>
            <w:tcW w:w="12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0</w:t>
            </w:r>
          </w:p>
        </w:tc>
        <w:tc>
          <w:tcPr>
            <w:tcW w:w="319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组织协调全县党风廉政建设和反腐败宣传教育工作，开展对党员、公务员的廉洁自律教育。承担县委惩治和预防腐败体系领导小组办公室和县预防腐败局的日常工作</w:t>
            </w:r>
          </w:p>
        </w:tc>
        <w:tc>
          <w:tcPr>
            <w:tcW w:w="29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积极发挥职能作用，加强党风廉政建设，营造风清气正、干事创业的工作氛围。</w:t>
            </w:r>
          </w:p>
        </w:tc>
        <w:tc>
          <w:tcPr>
            <w:tcW w:w="141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hint="eastAsia"/>
                <w:sz w:val="18"/>
                <w:szCs w:val="18"/>
              </w:rPr>
              <w:t>培训参加人数</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sz w:val="18"/>
                <w:szCs w:val="18"/>
              </w:rPr>
              <w:t>40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sz w:val="18"/>
                <w:szCs w:val="18"/>
              </w:rPr>
              <w:t>30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sz w:val="18"/>
                <w:szCs w:val="18"/>
              </w:rPr>
              <w:t>20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sz w:val="18"/>
                <w:szCs w:val="18"/>
              </w:rPr>
              <w:t>20</w:t>
            </w:r>
            <w:r>
              <w:rPr>
                <w:rFonts w:ascii="Times New Roman" w:eastAsia="方正书宋_GBK" w:hAnsi="Times New Roman" w:hint="eastAsia"/>
                <w:sz w:val="18"/>
                <w:szCs w:val="18"/>
              </w:rPr>
              <w:t>人次以下</w:t>
            </w:r>
          </w:p>
        </w:tc>
      </w:tr>
      <w:tr>
        <w:trPr>
          <w:trHeight w:val="5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hint="eastAsia"/>
                <w:sz w:val="18"/>
                <w:szCs w:val="18"/>
              </w:rPr>
              <w:t>教育活动完成率</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90%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80%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70%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color w:val="000000"/>
                <w:kern w:val="0"/>
                <w:sz w:val="18"/>
                <w:szCs w:val="18"/>
              </w:rPr>
              <w:t>&lt;70%</w:t>
            </w:r>
          </w:p>
        </w:tc>
      </w:tr>
      <w:tr>
        <w:trPr>
          <w:trHeight w:val="5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Times New Roman" w:eastAsia="方正书宋_GBK" w:hAnsi="Times New Roman" w:hint="eastAsia"/>
                <w:sz w:val="18"/>
                <w:szCs w:val="18"/>
              </w:rPr>
              <w:t>教育培训次数</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6</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4</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2</w:t>
            </w:r>
          </w:p>
        </w:tc>
        <w:tc>
          <w:tcPr>
            <w:tcW w:w="737" w:type="dxa"/>
            <w:tcBorders>
              <w:left w:val="single" w:sz="6" w:space="0" w:color="000000"/>
            </w:tcBorders>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2</w:t>
            </w:r>
            <w:r>
              <w:rPr>
                <w:rFonts w:ascii="宋体" w:cs="宋体" w:hAnsi="宋体" w:hint="eastAsia"/>
                <w:color w:val="000000"/>
                <w:kern w:val="0"/>
                <w:sz w:val="18"/>
                <w:szCs w:val="18"/>
              </w:rPr>
              <w:t>次以下</w:t>
            </w:r>
          </w:p>
        </w:tc>
      </w:tr>
      <w:tr>
        <w:trPr>
          <w:trHeight w:val="1050"/>
        </w:trPr>
        <w:tc>
          <w:tcPr>
            <w:tcW w:w="2341" w:type="dxa"/>
            <w:vAlign w:val="center"/>
          </w:tcPr>
          <w:p>
            <w:pPr>
              <w:widowControl/>
              <w:jc w:val="center"/>
              <w:textAlignment w:val="center"/>
              <w:rPr>
                <w:rFonts w:ascii="方正书宋_GBK" w:eastAsia="方正书宋_GBK" w:hAnsi="Times New Roman"/>
                <w:b/>
                <w:sz w:val="18"/>
                <w:szCs w:val="18"/>
              </w:rPr>
            </w:pPr>
            <w:r>
              <w:rPr>
                <w:rFonts w:ascii="宋体" w:cs="宋体" w:hAnsi="宋体" w:hint="eastAsia"/>
                <w:color w:val="000000"/>
                <w:kern w:val="0"/>
                <w:sz w:val="18"/>
                <w:szCs w:val="18"/>
              </w:rPr>
              <w:t>三、监督检查及巡视督查</w:t>
            </w:r>
          </w:p>
        </w:tc>
        <w:tc>
          <w:tcPr>
            <w:tcW w:w="12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50</w:t>
            </w:r>
          </w:p>
        </w:tc>
        <w:tc>
          <w:tcPr>
            <w:tcW w:w="319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监督检查党内法规政策、国家法律法规、党风廉政建设等的执行情况；履行县政府纠正行业不正之风办公室职能；贯彻落实县委有关部署，开展常态化全覆盖监督；做好对巡查工作领导小组、巡查组的服务保障工作。</w:t>
            </w:r>
          </w:p>
        </w:tc>
        <w:tc>
          <w:tcPr>
            <w:tcW w:w="29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加大问责力度，促进“两个责任”有效落实。</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r>
      <w:tr>
        <w:trPr>
          <w:trHeight w:val="700"/>
        </w:trPr>
        <w:tc>
          <w:tcPr>
            <w:tcW w:w="2341" w:type="dxa"/>
            <w:vMerge w:val="restart"/>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1</w:t>
            </w:r>
            <w:r>
              <w:rPr>
                <w:rFonts w:ascii="宋体" w:cs="宋体" w:hAnsi="宋体" w:hint="eastAsia"/>
                <w:color w:val="000000"/>
                <w:kern w:val="0"/>
                <w:sz w:val="18"/>
                <w:szCs w:val="18"/>
              </w:rPr>
              <w:t>、监督检查</w:t>
            </w:r>
          </w:p>
        </w:tc>
        <w:tc>
          <w:tcPr>
            <w:tcW w:w="12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50</w:t>
            </w:r>
          </w:p>
        </w:tc>
        <w:tc>
          <w:tcPr>
            <w:tcW w:w="319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监督检查党内法规政策、国家法律法规、党风廉政建设等的执行情况；履行县政府纠正行业不正之风办公室职能；贯彻落实县委有关部署，开展常态化全覆盖监督；做好对巡查工作领导小组、巡查组的服务保障工作。</w:t>
            </w:r>
          </w:p>
        </w:tc>
        <w:tc>
          <w:tcPr>
            <w:tcW w:w="29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巡视监督常态化、全覆盖</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巡察工作完成率</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90%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80%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70%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color w:val="000000"/>
                <w:kern w:val="0"/>
                <w:sz w:val="18"/>
                <w:szCs w:val="18"/>
              </w:rPr>
              <w:t>&lt;70%</w:t>
            </w:r>
          </w:p>
        </w:tc>
      </w:tr>
      <w:tr>
        <w:trPr>
          <w:trHeight w:val="7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巡察项目个数</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2</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1.5</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1</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0</w:t>
            </w:r>
          </w:p>
        </w:tc>
      </w:tr>
      <w:tr>
        <w:trPr>
          <w:trHeight w:val="7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巡察单位个数</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15</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10</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5</w:t>
            </w:r>
          </w:p>
        </w:tc>
        <w:tc>
          <w:tcPr>
            <w:tcW w:w="737" w:type="dxa"/>
            <w:tcBorders>
              <w:left w:val="single" w:sz="6" w:space="0" w:color="000000"/>
            </w:tcBorders>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5</w:t>
            </w:r>
            <w:r>
              <w:rPr>
                <w:rFonts w:ascii="宋体" w:cs="宋体" w:hAnsi="宋体" w:hint="eastAsia"/>
                <w:color w:val="000000"/>
                <w:kern w:val="0"/>
                <w:sz w:val="18"/>
                <w:szCs w:val="18"/>
              </w:rPr>
              <w:t>个以下</w:t>
            </w:r>
          </w:p>
        </w:tc>
      </w:tr>
      <w:tr>
        <w:trPr>
          <w:trHeight w:val="900"/>
        </w:trPr>
        <w:tc>
          <w:tcPr>
            <w:tcW w:w="2341" w:type="dxa"/>
            <w:vAlign w:val="center"/>
          </w:tcPr>
          <w:p>
            <w:pPr>
              <w:widowControl/>
              <w:jc w:val="center"/>
              <w:textAlignment w:val="center"/>
              <w:rPr>
                <w:rFonts w:ascii="方正书宋_GBK" w:eastAsia="方正书宋_GBK" w:hAnsi="Times New Roman"/>
                <w:b/>
                <w:sz w:val="18"/>
                <w:szCs w:val="18"/>
              </w:rPr>
            </w:pPr>
            <w:r>
              <w:rPr>
                <w:rFonts w:ascii="宋体" w:cs="宋体" w:hAnsi="宋体" w:hint="eastAsia"/>
                <w:color w:val="000000"/>
                <w:kern w:val="0"/>
                <w:sz w:val="18"/>
                <w:szCs w:val="18"/>
              </w:rPr>
              <w:t>四、纪检事务管理</w:t>
            </w:r>
          </w:p>
        </w:tc>
        <w:tc>
          <w:tcPr>
            <w:tcW w:w="12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0.54</w:t>
            </w:r>
          </w:p>
        </w:tc>
        <w:tc>
          <w:tcPr>
            <w:tcW w:w="319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宣传党的纪检工作方针、政策，教育纪检干部遵守和执行党章以及党内法规、党的路线方针政策和决议、国家法规等，全面提高纪检监察干部队伍素质；负责办公场所运行维护。</w:t>
            </w:r>
          </w:p>
        </w:tc>
        <w:tc>
          <w:tcPr>
            <w:tcW w:w="2976" w:type="dxa"/>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提高纪检监察干部队伍素质；维护运行办公场所</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p>
        </w:tc>
      </w:tr>
      <w:tr>
        <w:trPr>
          <w:trHeight w:val="300"/>
        </w:trPr>
        <w:tc>
          <w:tcPr>
            <w:tcW w:w="2341" w:type="dxa"/>
            <w:vMerge w:val="restart"/>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1</w:t>
            </w:r>
            <w:r>
              <w:rPr>
                <w:rFonts w:ascii="宋体" w:cs="宋体" w:hAnsi="宋体" w:hint="eastAsia"/>
                <w:color w:val="000000"/>
                <w:kern w:val="0"/>
                <w:sz w:val="18"/>
                <w:szCs w:val="18"/>
              </w:rPr>
              <w:t>、综合事务管理</w:t>
            </w:r>
          </w:p>
        </w:tc>
        <w:tc>
          <w:tcPr>
            <w:tcW w:w="12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sz w:val="18"/>
                <w:szCs w:val="18"/>
              </w:rPr>
              <w:t>0.54</w:t>
            </w:r>
          </w:p>
        </w:tc>
        <w:tc>
          <w:tcPr>
            <w:tcW w:w="319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宣传党的纪检工作方针、政策，教育纪检干部遵守和执行党章以及党内法规、党的路线方针政策和决议、国家法规等，全面提高纪检监察干部队伍素质；负责办公场所运行维护</w:t>
            </w:r>
          </w:p>
        </w:tc>
        <w:tc>
          <w:tcPr>
            <w:tcW w:w="2976" w:type="dxa"/>
            <w:vMerge w:val="restart"/>
            <w:tcBorders>
              <w:left w:val="single" w:sz="6" w:space="0" w:color="000000"/>
            </w:tcBorders>
            <w:vAlign w:val="center"/>
          </w:tcPr>
          <w:p>
            <w:pPr>
              <w:spacing w:line="300" w:lineRule="exact"/>
              <w:jc w:val="center"/>
              <w:rPr>
                <w:rFonts w:ascii="方正书宋_GBK" w:eastAsia="方正书宋_GBK" w:hAnsi="Times New Roman"/>
                <w:sz w:val="18"/>
                <w:szCs w:val="18"/>
              </w:rPr>
            </w:pPr>
            <w:r>
              <w:rPr>
                <w:rFonts w:ascii="方正书宋_GBK" w:eastAsia="方正书宋_GBK" w:hAnsi="Times New Roman" w:hint="eastAsia"/>
                <w:sz w:val="18"/>
                <w:szCs w:val="18"/>
              </w:rPr>
              <w:t>提高纪检监察干部队伍素质；维护运行办公场所</w:t>
            </w: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提供办公用房间数</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25</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20</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10</w:t>
            </w:r>
          </w:p>
        </w:tc>
        <w:tc>
          <w:tcPr>
            <w:tcW w:w="737" w:type="dxa"/>
            <w:tcBorders>
              <w:left w:val="single" w:sz="6" w:space="0" w:color="000000"/>
            </w:tcBorders>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10</w:t>
            </w:r>
            <w:r>
              <w:rPr>
                <w:rFonts w:ascii="宋体" w:cs="宋体" w:hAnsi="宋体" w:hint="eastAsia"/>
                <w:color w:val="000000"/>
                <w:kern w:val="0"/>
                <w:sz w:val="18"/>
                <w:szCs w:val="18"/>
              </w:rPr>
              <w:t>间以下</w:t>
            </w:r>
          </w:p>
        </w:tc>
      </w:tr>
      <w:tr>
        <w:trPr>
          <w:trHeight w:val="3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综合事务保障率</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1</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95%</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hint="eastAsia"/>
                <w:color w:val="000000"/>
                <w:kern w:val="0"/>
                <w:sz w:val="18"/>
                <w:szCs w:val="18"/>
              </w:rPr>
              <w:t>≥</w:t>
            </w:r>
            <w:r>
              <w:rPr>
                <w:rFonts w:ascii="宋体" w:cs="宋体" w:hAnsi="宋体"/>
                <w:color w:val="000000"/>
                <w:kern w:val="0"/>
                <w:sz w:val="18"/>
                <w:szCs w:val="18"/>
              </w:rPr>
              <w:t>90%</w:t>
            </w:r>
          </w:p>
        </w:tc>
        <w:tc>
          <w:tcPr>
            <w:tcW w:w="737" w:type="dxa"/>
            <w:tcBorders>
              <w:left w:val="single" w:sz="6" w:space="0" w:color="000000"/>
            </w:tcBorders>
            <w:vAlign w:val="center"/>
          </w:tcPr>
          <w:p>
            <w:pPr>
              <w:widowControl/>
              <w:jc w:val="center"/>
              <w:textAlignment w:val="center"/>
              <w:rPr>
                <w:rFonts w:ascii="Times New Roman" w:eastAsia="方正书宋_GBK" w:hAnsi="Times New Roman"/>
                <w:sz w:val="18"/>
                <w:szCs w:val="18"/>
              </w:rPr>
            </w:pPr>
            <w:r>
              <w:rPr>
                <w:rFonts w:ascii="宋体" w:cs="宋体" w:hAnsi="宋体"/>
                <w:color w:val="000000"/>
                <w:kern w:val="0"/>
                <w:sz w:val="18"/>
                <w:szCs w:val="18"/>
              </w:rPr>
              <w:t>&lt;90%</w:t>
            </w:r>
          </w:p>
        </w:tc>
      </w:tr>
      <w:tr>
        <w:trPr>
          <w:trHeight w:val="300"/>
        </w:trPr>
        <w:tc>
          <w:tcPr>
            <w:tcW w:w="2341" w:type="dxa"/>
            <w:vMerge/>
            <w:vAlign w:val="center"/>
          </w:tcPr>
          <w:p/>
        </w:tc>
        <w:tc>
          <w:tcPr>
            <w:tcW w:w="1276" w:type="dxa"/>
            <w:vMerge/>
            <w:tcBorders>
              <w:left w:val="single" w:sz="6" w:space="0" w:color="000000"/>
            </w:tcBorders>
            <w:vAlign w:val="center"/>
          </w:tcPr>
          <w:p/>
        </w:tc>
        <w:tc>
          <w:tcPr>
            <w:tcW w:w="3196" w:type="dxa"/>
            <w:vMerge/>
            <w:tcBorders>
              <w:left w:val="single" w:sz="6" w:space="0" w:color="000000"/>
            </w:tcBorders>
            <w:vAlign w:val="center"/>
          </w:tcPr>
          <w:p/>
        </w:tc>
        <w:tc>
          <w:tcPr>
            <w:tcW w:w="2976" w:type="dxa"/>
            <w:vMerge/>
            <w:tcBorders>
              <w:left w:val="single" w:sz="6" w:space="0" w:color="000000"/>
            </w:tcBorders>
            <w:vAlign w:val="center"/>
          </w:tcPr>
          <w:p/>
        </w:tc>
        <w:tc>
          <w:tcPr>
            <w:tcW w:w="141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hint="eastAsia"/>
                <w:sz w:val="18"/>
                <w:szCs w:val="18"/>
              </w:rPr>
              <w:t>提供办公用房面积数</w:t>
            </w:r>
          </w:p>
        </w:tc>
        <w:tc>
          <w:tcPr>
            <w:tcW w:w="737" w:type="dxa"/>
            <w:tcBorders>
              <w:left w:val="single" w:sz="6" w:space="0" w:color="000000"/>
            </w:tcBorders>
            <w:vAlign w:val="center"/>
          </w:tcPr>
          <w:p>
            <w:pPr>
              <w:spacing w:line="300" w:lineRule="exact"/>
              <w:jc w:val="center"/>
              <w:rPr>
                <w:rFonts w:ascii="Times New Roman" w:eastAsia="方正书宋_GBK" w:hAnsi="Times New Roman"/>
                <w:sz w:val="18"/>
                <w:szCs w:val="18"/>
              </w:rPr>
            </w:pPr>
            <w:r>
              <w:rPr>
                <w:rFonts w:ascii="Times New Roman" w:eastAsia="方正书宋_GBK" w:hAnsi="Times New Roman"/>
                <w:sz w:val="18"/>
                <w:szCs w:val="18"/>
              </w:rPr>
              <w:t>1000</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800</w:t>
            </w:r>
          </w:p>
        </w:tc>
        <w:tc>
          <w:tcPr>
            <w:tcW w:w="737" w:type="dxa"/>
            <w:tcBorders>
              <w:left w:val="single" w:sz="6" w:space="0" w:color="000000"/>
            </w:tcBorders>
            <w:vAlign w:val="center"/>
          </w:tcPr>
          <w:p>
            <w:pPr>
              <w:widowControl/>
              <w:jc w:val="center"/>
              <w:textAlignment w:val="center"/>
              <w:rPr>
                <w:rFonts w:ascii="宋体" w:cs="宋体" w:hAnsi="宋体"/>
                <w:color w:val="000000"/>
                <w:kern w:val="0"/>
                <w:sz w:val="18"/>
                <w:szCs w:val="18"/>
              </w:rPr>
            </w:pPr>
            <w:r>
              <w:rPr>
                <w:rFonts w:ascii="宋体" w:cs="宋体" w:hAnsi="宋体"/>
                <w:color w:val="000000"/>
                <w:kern w:val="0"/>
                <w:sz w:val="18"/>
                <w:szCs w:val="18"/>
              </w:rPr>
              <w:t>500</w:t>
            </w:r>
          </w:p>
        </w:tc>
        <w:tc>
          <w:tcPr>
            <w:tcW w:w="737" w:type="dxa"/>
            <w:tcBorders>
              <w:left w:val="single" w:sz="6" w:space="0" w:color="000000"/>
            </w:tcBorders>
            <w:vAlign w:val="center"/>
          </w:tcPr>
          <w:p>
            <w:pPr>
              <w:widowControl/>
              <w:jc w:val="center"/>
              <w:textAlignment w:val="center"/>
              <w:rPr>
                <w:rFonts w:ascii="宋体" w:cs="宋体"/>
                <w:color w:val="000000"/>
                <w:kern w:val="0"/>
                <w:sz w:val="18"/>
                <w:szCs w:val="18"/>
              </w:rPr>
            </w:pPr>
            <w:r>
              <w:rPr>
                <w:rFonts w:ascii="宋体" w:cs="宋体" w:hAnsi="宋体"/>
                <w:color w:val="000000"/>
                <w:kern w:val="0"/>
                <w:sz w:val="18"/>
                <w:szCs w:val="18"/>
              </w:rPr>
              <w:t>300</w:t>
            </w:r>
            <w:r>
              <w:rPr>
                <w:rFonts w:ascii="宋体" w:cs="宋体" w:hAnsi="宋体" w:hint="eastAsia"/>
                <w:color w:val="000000"/>
                <w:kern w:val="0"/>
                <w:sz w:val="18"/>
                <w:szCs w:val="18"/>
              </w:rPr>
              <w:t>平米以下</w:t>
            </w:r>
          </w:p>
        </w:tc>
      </w:tr>
    </w:tbl>
    <w:p>
      <w:pPr>
        <w:autoSpaceDE w:val="0"/>
        <w:autoSpaceDN w:val="0"/>
        <w:adjustRightInd w:val="0"/>
        <w:ind w:left="200"/>
        <w:jc w:val="left"/>
        <w:rPr>
          <w:rFonts w:ascii="宋体" w:cs="宋体"/>
          <w:kern w:val="0"/>
          <w:sz w:val="18"/>
          <w:szCs w:val="18"/>
          <w:lang w:val="zh-CN"/>
        </w:rPr>
      </w:pPr>
    </w:p>
    <w:p>
      <w:pPr>
        <w:autoSpaceDE w:val="0"/>
        <w:autoSpaceDN w:val="0"/>
        <w:adjustRightInd w:val="0"/>
        <w:ind w:firstLineChars="200" w:firstLine="640"/>
        <w:jc w:val="left"/>
        <w:rPr>
          <w:rFonts w:ascii="黑体" w:eastAsia="黑体" w:cs="楷体" w:hAnsi="黑体"/>
          <w:bCs/>
          <w:sz w:val="32"/>
          <w:szCs w:val="32"/>
        </w:rPr>
      </w:pPr>
      <w:bookmarkStart w:id="2" w:name="_Toc471398468"/>
      <w:r>
        <w:rPr>
          <w:rFonts w:ascii="Times New Roman" w:hAnsi="Times New Roman"/>
          <w:sz w:val="32"/>
          <w:szCs w:val="24"/>
        </w:rPr>
        <w:t xml:space="preserve"> </w:t>
      </w:r>
      <w:r>
        <w:rPr>
          <w:rFonts w:ascii="黑体" w:eastAsia="黑体" w:cs="楷体" w:hAnsi="黑体" w:hint="eastAsia"/>
          <w:bCs/>
          <w:sz w:val="32"/>
          <w:szCs w:val="32"/>
        </w:rPr>
        <w:t>六、政府采购预算情况</w:t>
      </w:r>
    </w:p>
    <w:p>
      <w:pPr>
        <w:autoSpaceDE w:val="0"/>
        <w:autoSpaceDN w:val="0"/>
        <w:adjustRightInd w:val="0"/>
        <w:ind w:firstLineChars="200" w:firstLine="640"/>
        <w:jc w:val="left"/>
        <w:rPr>
          <w:rFonts w:ascii="黑体" w:eastAsia="黑体" w:cs="楷体" w:hAnsi="黑体"/>
          <w:bCs/>
          <w:sz w:val="32"/>
          <w:szCs w:val="32"/>
        </w:rPr>
      </w:pPr>
      <w:r>
        <w:rPr>
          <w:rFonts w:ascii="仿宋_GB2312" w:eastAsia="仿宋_GB2312" w:hAnsi="Times New Roman"/>
          <w:sz w:val="32"/>
          <w:szCs w:val="24"/>
        </w:rPr>
        <w:t>2019</w:t>
      </w:r>
      <w:r>
        <w:rPr>
          <w:rFonts w:ascii="仿宋_GB2312" w:eastAsia="仿宋_GB2312" w:hAnsi="Times New Roman" w:hint="eastAsia"/>
          <w:sz w:val="32"/>
          <w:szCs w:val="24"/>
        </w:rPr>
        <w:t>年，我部门安排政府采购预算</w:t>
      </w:r>
      <w:r>
        <w:rPr>
          <w:rFonts w:ascii="仿宋_GB2312" w:eastAsia="仿宋_GB2312" w:hAnsi="Times New Roman"/>
          <w:sz w:val="32"/>
          <w:szCs w:val="24"/>
        </w:rPr>
        <w:t>36</w:t>
      </w:r>
      <w:r>
        <w:rPr>
          <w:rFonts w:ascii="仿宋_GB2312" w:eastAsia="仿宋_GB2312" w:hAnsi="Times New Roman" w:hint="eastAsia"/>
          <w:sz w:val="32"/>
          <w:szCs w:val="24"/>
        </w:rPr>
        <w:t>万元。具体内容见下表。</w:t>
      </w:r>
    </w:p>
    <w:p>
      <w:pPr>
        <w:jc w:val="center"/>
        <w:outlineLvl w:val="0"/>
        <w:rPr>
          <w:rFonts w:ascii="仿宋_GB2312" w:eastAsia="仿宋_GB2312"/>
          <w:b/>
          <w:sz w:val="32"/>
        </w:rPr>
      </w:pPr>
      <w:bookmarkStart w:id="3" w:name="_Toc504489153"/>
      <w:r>
        <w:rPr>
          <w:rFonts w:ascii="仿宋_GB2312" w:eastAsia="仿宋_GB2312" w:hint="eastAsia"/>
          <w:b/>
          <w:sz w:val="32"/>
        </w:rPr>
        <w:t>部门政府采购预算</w:t>
      </w:r>
      <w:bookmarkEnd w:id="3"/>
    </w:p>
    <w:tbl>
      <w:tblPr>
        <w:jc w:val="center"/>
        <w:tblW w:w="1375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2273"/>
        <w:gridCol w:w="998"/>
        <w:gridCol w:w="880"/>
        <w:gridCol w:w="1295"/>
        <w:gridCol w:w="679"/>
        <w:gridCol w:w="699"/>
        <w:gridCol w:w="897"/>
        <w:gridCol w:w="902"/>
        <w:gridCol w:w="902"/>
        <w:gridCol w:w="902"/>
        <w:gridCol w:w="704"/>
        <w:gridCol w:w="913"/>
        <w:gridCol w:w="877"/>
        <w:gridCol w:w="831"/>
      </w:tblGrid>
      <w:tr>
        <w:trPr>
          <w:tblHeader/>
        </w:trPr>
        <w:tc>
          <w:tcPr>
            <w:tcW w:w="7721" w:type="dxa"/>
            <w:gridSpan w:val="7"/>
            <w:tcBorders>
              <w:top w:val="single" w:sz="6" w:space="0" w:color="FFFFFF"/>
              <w:left w:val="single" w:sz="6" w:space="0" w:color="FFFFFF"/>
              <w:right w:val="single" w:sz="6" w:space="0" w:color="FFFFFF"/>
            </w:tcBorders>
            <w:vAlign w:val="center"/>
          </w:tcPr>
          <w:p>
            <w:pPr>
              <w:spacing w:line="300" w:lineRule="exact"/>
              <w:jc w:val="left"/>
              <w:rPr>
                <w:rFonts w:ascii="?????_GBK" w:eastAsia="Times New Roman" w:hAnsi="Times New Roman"/>
                <w:sz w:val="18"/>
                <w:szCs w:val="18"/>
              </w:rPr>
            </w:pPr>
            <w:r>
              <w:rPr>
                <w:rFonts w:ascii="宋体" w:cs="宋体" w:hAnsi="宋体"/>
                <w:kern w:val="0"/>
                <w:sz w:val="22"/>
              </w:rPr>
              <w:t>222</w:t>
            </w:r>
            <w:r>
              <w:rPr>
                <w:rFonts w:ascii="宋体" w:cs="宋体" w:hAnsi="宋体" w:hint="eastAsia"/>
                <w:kern w:val="0"/>
                <w:sz w:val="22"/>
              </w:rPr>
              <w:t>中国共产党永清县纪律检查委员会永清县监察委员会</w:t>
            </w:r>
          </w:p>
        </w:tc>
        <w:tc>
          <w:tcPr>
            <w:tcW w:w="6031" w:type="dxa"/>
            <w:gridSpan w:val="7"/>
            <w:tcBorders>
              <w:top w:val="single" w:sz="6" w:space="0" w:color="FFFFFF"/>
              <w:left w:val="single" w:sz="6" w:space="0" w:color="FFFFFF"/>
              <w:right w:val="single" w:sz="6" w:space="0" w:color="FFFFFF"/>
            </w:tcBorders>
            <w:vAlign w:val="center"/>
          </w:tcPr>
          <w:p>
            <w:pPr>
              <w:spacing w:line="300" w:lineRule="exact"/>
              <w:jc w:val="right"/>
              <w:rPr>
                <w:rFonts w:ascii="仿宋_GB2312" w:eastAsia="仿宋_GB2312"/>
                <w:sz w:val="24"/>
              </w:rPr>
            </w:pPr>
            <w:r>
              <w:rPr>
                <w:rFonts w:ascii="仿宋_GB2312" w:eastAsia="仿宋_GB2312" w:hint="eastAsia"/>
                <w:sz w:val="24"/>
              </w:rPr>
              <w:t>单位：万元</w:t>
            </w:r>
          </w:p>
        </w:tc>
      </w:tr>
      <w:tr>
        <w:trPr>
          <w:tblHeader/>
        </w:trPr>
        <w:tc>
          <w:tcPr>
            <w:tcW w:w="3271" w:type="dxa"/>
            <w:gridSpan w:val="2"/>
            <w:vAlign w:val="center"/>
          </w:tcPr>
          <w:p>
            <w:pPr>
              <w:spacing w:line="300" w:lineRule="exact"/>
              <w:jc w:val="center"/>
              <w:rPr>
                <w:rFonts w:ascii="仿宋_GB2312" w:eastAsia="仿宋_GB2312"/>
                <w:b/>
              </w:rPr>
            </w:pPr>
            <w:r>
              <w:rPr>
                <w:rFonts w:ascii="仿宋_GB2312" w:eastAsia="仿宋_GB2312" w:hint="eastAsia"/>
                <w:b/>
              </w:rPr>
              <w:t>政府采购项目来源</w:t>
            </w:r>
          </w:p>
        </w:tc>
        <w:tc>
          <w:tcPr>
            <w:tcW w:w="880"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采购物品名称</w:t>
            </w:r>
          </w:p>
        </w:tc>
        <w:tc>
          <w:tcPr>
            <w:tcW w:w="1295"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政府采购目录序号</w:t>
            </w:r>
          </w:p>
        </w:tc>
        <w:tc>
          <w:tcPr>
            <w:tcW w:w="679"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数量</w:t>
            </w:r>
            <w:r>
              <w:rPr>
                <w:rFonts w:ascii="仿宋_GB2312" w:eastAsia="仿宋_GB2312"/>
                <w:b/>
              </w:rPr>
              <w:t xml:space="preserve">  </w:t>
            </w:r>
            <w:r>
              <w:rPr>
                <w:rFonts w:ascii="仿宋_GB2312" w:eastAsia="仿宋_GB2312" w:hint="eastAsia"/>
                <w:b/>
              </w:rPr>
              <w:t>单位</w:t>
            </w:r>
          </w:p>
        </w:tc>
        <w:tc>
          <w:tcPr>
            <w:tcW w:w="699"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数量</w:t>
            </w:r>
          </w:p>
        </w:tc>
        <w:tc>
          <w:tcPr>
            <w:tcW w:w="897"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单价</w:t>
            </w:r>
          </w:p>
        </w:tc>
        <w:tc>
          <w:tcPr>
            <w:tcW w:w="6031" w:type="dxa"/>
            <w:gridSpan w:val="7"/>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政府采购金额</w:t>
            </w:r>
          </w:p>
        </w:tc>
      </w:tr>
      <w:tr>
        <w:trPr>
          <w:tblHeader/>
        </w:trPr>
        <w:tc>
          <w:tcPr>
            <w:tcW w:w="2273" w:type="dxa"/>
            <w:vMerge w:val="restart"/>
            <w:vAlign w:val="center"/>
          </w:tcPr>
          <w:p>
            <w:pPr>
              <w:spacing w:line="300" w:lineRule="exact"/>
              <w:jc w:val="center"/>
              <w:rPr>
                <w:rFonts w:ascii="仿宋_GB2312" w:eastAsia="仿宋_GB2312"/>
                <w:b/>
              </w:rPr>
            </w:pPr>
            <w:r>
              <w:rPr>
                <w:rFonts w:ascii="仿宋_GB2312" w:eastAsia="仿宋_GB2312" w:hint="eastAsia"/>
                <w:b/>
              </w:rPr>
              <w:t>项目名称</w:t>
            </w:r>
          </w:p>
        </w:tc>
        <w:tc>
          <w:tcPr>
            <w:tcW w:w="998"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预算资金</w:t>
            </w:r>
          </w:p>
        </w:tc>
        <w:tc>
          <w:tcPr>
            <w:tcW w:w="880" w:type="dxa"/>
            <w:vMerge/>
            <w:tcBorders>
              <w:left w:val="single" w:sz="6" w:space="0" w:color="000000"/>
            </w:tcBorders>
            <w:vAlign w:val="center"/>
          </w:tcPr>
          <w:p/>
        </w:tc>
        <w:tc>
          <w:tcPr>
            <w:tcW w:w="1295" w:type="dxa"/>
            <w:vMerge/>
            <w:tcBorders>
              <w:left w:val="single" w:sz="6" w:space="0" w:color="000000"/>
            </w:tcBorders>
            <w:vAlign w:val="center"/>
          </w:tcPr>
          <w:p/>
        </w:tc>
        <w:tc>
          <w:tcPr>
            <w:tcW w:w="679" w:type="dxa"/>
            <w:vMerge/>
            <w:tcBorders>
              <w:left w:val="single" w:sz="6" w:space="0" w:color="000000"/>
            </w:tcBorders>
            <w:vAlign w:val="center"/>
          </w:tcPr>
          <w:p/>
        </w:tc>
        <w:tc>
          <w:tcPr>
            <w:tcW w:w="699" w:type="dxa"/>
            <w:vMerge/>
            <w:tcBorders>
              <w:left w:val="single" w:sz="6" w:space="0" w:color="000000"/>
            </w:tcBorders>
            <w:vAlign w:val="center"/>
          </w:tcPr>
          <w:p/>
        </w:tc>
        <w:tc>
          <w:tcPr>
            <w:tcW w:w="897" w:type="dxa"/>
            <w:vMerge/>
            <w:tcBorders>
              <w:left w:val="single" w:sz="6" w:space="0" w:color="000000"/>
            </w:tcBorders>
            <w:vAlign w:val="center"/>
          </w:tcPr>
          <w:p/>
        </w:tc>
        <w:tc>
          <w:tcPr>
            <w:tcW w:w="902"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总计</w:t>
            </w:r>
          </w:p>
        </w:tc>
        <w:tc>
          <w:tcPr>
            <w:tcW w:w="4298" w:type="dxa"/>
            <w:gridSpan w:val="5"/>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当年部门预算安排资金</w:t>
            </w:r>
          </w:p>
        </w:tc>
        <w:tc>
          <w:tcPr>
            <w:tcW w:w="831" w:type="dxa"/>
            <w:vMerge w:val="restart"/>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其他渠道资金</w:t>
            </w:r>
          </w:p>
        </w:tc>
      </w:tr>
      <w:tr>
        <w:trPr>
          <w:tblHeader/>
        </w:trPr>
        <w:tc>
          <w:tcPr>
            <w:tcW w:w="2273" w:type="dxa"/>
            <w:vMerge/>
            <w:vAlign w:val="center"/>
          </w:tcPr>
          <w:p/>
        </w:tc>
        <w:tc>
          <w:tcPr>
            <w:tcW w:w="998" w:type="dxa"/>
            <w:vMerge/>
            <w:tcBorders>
              <w:left w:val="single" w:sz="6" w:space="0" w:color="000000"/>
            </w:tcBorders>
            <w:vAlign w:val="center"/>
          </w:tcPr>
          <w:p/>
        </w:tc>
        <w:tc>
          <w:tcPr>
            <w:tcW w:w="880" w:type="dxa"/>
            <w:vMerge/>
            <w:tcBorders>
              <w:left w:val="single" w:sz="6" w:space="0" w:color="000000"/>
            </w:tcBorders>
            <w:vAlign w:val="center"/>
          </w:tcPr>
          <w:p/>
        </w:tc>
        <w:tc>
          <w:tcPr>
            <w:tcW w:w="1295" w:type="dxa"/>
            <w:vMerge/>
            <w:tcBorders>
              <w:left w:val="single" w:sz="6" w:space="0" w:color="000000"/>
            </w:tcBorders>
            <w:vAlign w:val="center"/>
          </w:tcPr>
          <w:p/>
        </w:tc>
        <w:tc>
          <w:tcPr>
            <w:tcW w:w="679" w:type="dxa"/>
            <w:vMerge/>
            <w:tcBorders>
              <w:left w:val="single" w:sz="6" w:space="0" w:color="000000"/>
            </w:tcBorders>
            <w:vAlign w:val="center"/>
          </w:tcPr>
          <w:p/>
        </w:tc>
        <w:tc>
          <w:tcPr>
            <w:tcW w:w="699" w:type="dxa"/>
            <w:vMerge/>
            <w:tcBorders>
              <w:left w:val="single" w:sz="6" w:space="0" w:color="000000"/>
            </w:tcBorders>
            <w:vAlign w:val="center"/>
          </w:tcPr>
          <w:p/>
        </w:tc>
        <w:tc>
          <w:tcPr>
            <w:tcW w:w="897" w:type="dxa"/>
            <w:vMerge/>
            <w:tcBorders>
              <w:left w:val="single" w:sz="6" w:space="0" w:color="000000"/>
            </w:tcBorders>
            <w:vAlign w:val="center"/>
          </w:tcPr>
          <w:p/>
        </w:tc>
        <w:tc>
          <w:tcPr>
            <w:tcW w:w="902" w:type="dxa"/>
            <w:vMerge/>
            <w:tcBorders>
              <w:left w:val="single" w:sz="6" w:space="0" w:color="000000"/>
            </w:tcBorders>
            <w:vAlign w:val="center"/>
          </w:tcPr>
          <w:p/>
        </w:tc>
        <w:tc>
          <w:tcPr>
            <w:tcW w:w="902" w:type="dxa"/>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合计</w:t>
            </w:r>
          </w:p>
        </w:tc>
        <w:tc>
          <w:tcPr>
            <w:tcW w:w="902" w:type="dxa"/>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一般公共预算拨款</w:t>
            </w:r>
          </w:p>
        </w:tc>
        <w:tc>
          <w:tcPr>
            <w:tcW w:w="704" w:type="dxa"/>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基金预算拨款</w:t>
            </w:r>
          </w:p>
        </w:tc>
        <w:tc>
          <w:tcPr>
            <w:tcW w:w="913" w:type="dxa"/>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财政专户核拨</w:t>
            </w:r>
          </w:p>
        </w:tc>
        <w:tc>
          <w:tcPr>
            <w:tcW w:w="877" w:type="dxa"/>
            <w:tcBorders>
              <w:left w:val="single" w:sz="6" w:space="0" w:color="000000"/>
            </w:tcBorders>
            <w:vAlign w:val="center"/>
          </w:tcPr>
          <w:p>
            <w:pPr>
              <w:spacing w:line="300" w:lineRule="exact"/>
              <w:jc w:val="center"/>
              <w:rPr>
                <w:rFonts w:ascii="仿宋_GB2312" w:eastAsia="仿宋_GB2312"/>
                <w:b/>
              </w:rPr>
            </w:pPr>
            <w:r>
              <w:rPr>
                <w:rFonts w:ascii="仿宋_GB2312" w:eastAsia="仿宋_GB2312" w:hint="eastAsia"/>
                <w:b/>
              </w:rPr>
              <w:t>其他来源收入</w:t>
            </w:r>
          </w:p>
        </w:tc>
        <w:tc>
          <w:tcPr>
            <w:tcW w:w="831" w:type="dxa"/>
            <w:vMerge/>
            <w:tcBorders>
              <w:left w:val="single" w:sz="6" w:space="0" w:color="000000"/>
            </w:tcBorders>
            <w:vAlign w:val="center"/>
          </w:tcPr>
          <w:p/>
        </w:tc>
      </w:tr>
      <w:tr>
        <w:tc>
          <w:tcPr>
            <w:tcW w:w="2273" w:type="dxa"/>
            <w:vAlign w:val="center"/>
          </w:tcPr>
          <w:p>
            <w:pPr>
              <w:spacing w:line="300" w:lineRule="exact"/>
              <w:jc w:val="center"/>
              <w:rPr>
                <w:rFonts w:ascii="仿宋_GB2312" w:eastAsia="仿宋_GB2312"/>
                <w:b/>
              </w:rPr>
            </w:pPr>
            <w:r>
              <w:rPr>
                <w:rFonts w:ascii="仿宋_GB2312" w:eastAsia="仿宋_GB2312" w:hint="eastAsia"/>
                <w:b/>
              </w:rPr>
              <w:t>合　计</w:t>
            </w:r>
          </w:p>
        </w:tc>
        <w:tc>
          <w:tcPr>
            <w:tcW w:w="998"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880"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小轿车</w:t>
            </w:r>
          </w:p>
        </w:tc>
        <w:tc>
          <w:tcPr>
            <w:tcW w:w="1295"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Ａ</w:t>
            </w:r>
            <w:r>
              <w:rPr>
                <w:rFonts w:ascii="仿宋_GB2312" w:eastAsia="仿宋_GB2312"/>
                <w:b/>
              </w:rPr>
              <w:t>02030501</w:t>
            </w:r>
          </w:p>
        </w:tc>
        <w:tc>
          <w:tcPr>
            <w:tcW w:w="679"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辆</w:t>
            </w:r>
          </w:p>
        </w:tc>
        <w:tc>
          <w:tcPr>
            <w:tcW w:w="699"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2</w:t>
            </w:r>
          </w:p>
        </w:tc>
        <w:tc>
          <w:tcPr>
            <w:tcW w:w="897"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18</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704" w:type="dxa"/>
            <w:tcBorders>
              <w:left w:val="single" w:sz="6" w:space="0" w:color="000000"/>
            </w:tcBorders>
            <w:vAlign w:val="center"/>
          </w:tcPr>
          <w:p>
            <w:pPr>
              <w:spacing w:line="300" w:lineRule="exact"/>
              <w:jc w:val="right"/>
              <w:rPr>
                <w:rFonts w:ascii="仿宋_GB2312" w:eastAsia="仿宋_GB2312"/>
                <w:b/>
              </w:rPr>
            </w:pPr>
          </w:p>
        </w:tc>
        <w:tc>
          <w:tcPr>
            <w:tcW w:w="913" w:type="dxa"/>
            <w:tcBorders>
              <w:left w:val="single" w:sz="6" w:space="0" w:color="000000"/>
            </w:tcBorders>
            <w:vAlign w:val="center"/>
          </w:tcPr>
          <w:p>
            <w:pPr>
              <w:spacing w:line="300" w:lineRule="exact"/>
              <w:jc w:val="right"/>
              <w:rPr>
                <w:rFonts w:ascii="仿宋_GB2312" w:eastAsia="仿宋_GB2312"/>
                <w:b/>
              </w:rPr>
            </w:pPr>
          </w:p>
        </w:tc>
        <w:tc>
          <w:tcPr>
            <w:tcW w:w="877" w:type="dxa"/>
            <w:tcBorders>
              <w:left w:val="single" w:sz="6" w:space="0" w:color="000000"/>
            </w:tcBorders>
            <w:vAlign w:val="center"/>
          </w:tcPr>
          <w:p>
            <w:pPr>
              <w:spacing w:line="300" w:lineRule="exact"/>
              <w:jc w:val="right"/>
              <w:rPr>
                <w:rFonts w:ascii="仿宋_GB2312" w:eastAsia="仿宋_GB2312"/>
                <w:b/>
              </w:rPr>
            </w:pPr>
          </w:p>
        </w:tc>
        <w:tc>
          <w:tcPr>
            <w:tcW w:w="831" w:type="dxa"/>
            <w:tcBorders>
              <w:left w:val="single" w:sz="6" w:space="0" w:color="000000"/>
            </w:tcBorders>
            <w:vAlign w:val="center"/>
          </w:tcPr>
          <w:p>
            <w:pPr>
              <w:spacing w:line="300" w:lineRule="exact"/>
              <w:jc w:val="right"/>
              <w:rPr>
                <w:rFonts w:ascii="仿宋_GB2312" w:eastAsia="仿宋_GB2312"/>
                <w:b/>
              </w:rPr>
            </w:pPr>
          </w:p>
        </w:tc>
      </w:tr>
      <w:tr>
        <w:tc>
          <w:tcPr>
            <w:tcW w:w="2273" w:type="dxa"/>
            <w:vAlign w:val="center"/>
          </w:tcPr>
          <w:p>
            <w:pPr>
              <w:spacing w:line="300" w:lineRule="exact"/>
              <w:jc w:val="center"/>
              <w:rPr>
                <w:rFonts w:ascii="仿宋_GB2312" w:eastAsia="仿宋_GB2312"/>
                <w:b/>
              </w:rPr>
            </w:pPr>
            <w:r>
              <w:rPr>
                <w:rFonts w:ascii="仿宋_GB2312" w:eastAsia="仿宋_GB2312" w:hint="eastAsia"/>
                <w:b/>
              </w:rPr>
              <w:t>纪律审查项目</w:t>
            </w:r>
          </w:p>
        </w:tc>
        <w:tc>
          <w:tcPr>
            <w:tcW w:w="998"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880"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小轿车</w:t>
            </w:r>
          </w:p>
        </w:tc>
        <w:tc>
          <w:tcPr>
            <w:tcW w:w="1295"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Ａ</w:t>
            </w:r>
            <w:r>
              <w:rPr>
                <w:rFonts w:ascii="仿宋_GB2312" w:eastAsia="仿宋_GB2312"/>
                <w:b/>
              </w:rPr>
              <w:t>02030501</w:t>
            </w:r>
          </w:p>
        </w:tc>
        <w:tc>
          <w:tcPr>
            <w:tcW w:w="679" w:type="dxa"/>
            <w:tcBorders>
              <w:left w:val="single" w:sz="6" w:space="0" w:color="000000"/>
            </w:tcBorders>
            <w:vAlign w:val="center"/>
          </w:tcPr>
          <w:p>
            <w:pPr>
              <w:spacing w:line="300" w:lineRule="exact"/>
              <w:jc w:val="left"/>
              <w:rPr>
                <w:rFonts w:ascii="仿宋_GB2312" w:eastAsia="仿宋_GB2312"/>
                <w:b/>
              </w:rPr>
            </w:pPr>
            <w:r>
              <w:rPr>
                <w:rFonts w:ascii="仿宋_GB2312" w:eastAsia="仿宋_GB2312" w:hint="eastAsia"/>
                <w:b/>
              </w:rPr>
              <w:t>辆</w:t>
            </w:r>
          </w:p>
        </w:tc>
        <w:tc>
          <w:tcPr>
            <w:tcW w:w="699"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2</w:t>
            </w:r>
          </w:p>
        </w:tc>
        <w:tc>
          <w:tcPr>
            <w:tcW w:w="897"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18</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902" w:type="dxa"/>
            <w:tcBorders>
              <w:left w:val="single" w:sz="6" w:space="0" w:color="000000"/>
            </w:tcBorders>
            <w:vAlign w:val="center"/>
          </w:tcPr>
          <w:p>
            <w:pPr>
              <w:spacing w:line="300" w:lineRule="exact"/>
              <w:jc w:val="right"/>
              <w:rPr>
                <w:rFonts w:ascii="仿宋_GB2312" w:eastAsia="仿宋_GB2312"/>
                <w:b/>
              </w:rPr>
            </w:pPr>
            <w:r>
              <w:rPr>
                <w:rFonts w:ascii="仿宋_GB2312" w:eastAsia="仿宋_GB2312"/>
                <w:b/>
              </w:rPr>
              <w:t>36</w:t>
            </w:r>
          </w:p>
        </w:tc>
        <w:tc>
          <w:tcPr>
            <w:tcW w:w="704" w:type="dxa"/>
            <w:tcBorders>
              <w:left w:val="single" w:sz="6" w:space="0" w:color="000000"/>
            </w:tcBorders>
            <w:vAlign w:val="center"/>
          </w:tcPr>
          <w:p>
            <w:pPr>
              <w:spacing w:line="300" w:lineRule="exact"/>
              <w:jc w:val="right"/>
              <w:rPr>
                <w:rFonts w:ascii="仿宋_GB2312" w:eastAsia="仿宋_GB2312"/>
                <w:b/>
              </w:rPr>
            </w:pPr>
          </w:p>
        </w:tc>
        <w:tc>
          <w:tcPr>
            <w:tcW w:w="913" w:type="dxa"/>
            <w:tcBorders>
              <w:left w:val="single" w:sz="6" w:space="0" w:color="000000"/>
            </w:tcBorders>
            <w:vAlign w:val="center"/>
          </w:tcPr>
          <w:p>
            <w:pPr>
              <w:spacing w:line="300" w:lineRule="exact"/>
              <w:jc w:val="right"/>
              <w:rPr>
                <w:rFonts w:ascii="仿宋_GB2312" w:eastAsia="仿宋_GB2312"/>
                <w:b/>
              </w:rPr>
            </w:pPr>
          </w:p>
        </w:tc>
        <w:tc>
          <w:tcPr>
            <w:tcW w:w="877" w:type="dxa"/>
            <w:tcBorders>
              <w:left w:val="single" w:sz="6" w:space="0" w:color="000000"/>
            </w:tcBorders>
            <w:vAlign w:val="center"/>
          </w:tcPr>
          <w:p>
            <w:pPr>
              <w:spacing w:line="300" w:lineRule="exact"/>
              <w:jc w:val="right"/>
              <w:rPr>
                <w:rFonts w:ascii="仿宋_GB2312" w:eastAsia="仿宋_GB2312"/>
                <w:b/>
              </w:rPr>
            </w:pPr>
          </w:p>
        </w:tc>
        <w:tc>
          <w:tcPr>
            <w:tcW w:w="831" w:type="dxa"/>
            <w:tcBorders>
              <w:left w:val="single" w:sz="6" w:space="0" w:color="000000"/>
            </w:tcBorders>
            <w:vAlign w:val="center"/>
          </w:tcPr>
          <w:p>
            <w:pPr>
              <w:spacing w:line="300" w:lineRule="exact"/>
              <w:jc w:val="right"/>
              <w:rPr>
                <w:rFonts w:ascii="仿宋_GB2312" w:eastAsia="仿宋_GB2312"/>
                <w:b/>
              </w:rPr>
            </w:pPr>
          </w:p>
        </w:tc>
      </w:tr>
      <w:tr>
        <w:tc>
          <w:tcPr>
            <w:tcW w:w="2273" w:type="dxa"/>
            <w:vAlign w:val="center"/>
          </w:tcPr>
          <w:p>
            <w:pPr>
              <w:spacing w:line="300" w:lineRule="exact"/>
              <w:jc w:val="left"/>
              <w:rPr>
                <w:rFonts w:ascii="仿宋_GB2312" w:eastAsia="仿宋_GB2312"/>
              </w:rPr>
            </w:pPr>
          </w:p>
        </w:tc>
        <w:tc>
          <w:tcPr>
            <w:tcW w:w="998" w:type="dxa"/>
            <w:tcBorders>
              <w:left w:val="single" w:sz="6" w:space="0" w:color="000000"/>
            </w:tcBorders>
            <w:vAlign w:val="center"/>
          </w:tcPr>
          <w:p>
            <w:pPr>
              <w:spacing w:line="300" w:lineRule="exact"/>
              <w:jc w:val="right"/>
              <w:rPr>
                <w:rFonts w:ascii="仿宋_GB2312" w:eastAsia="仿宋_GB2312"/>
              </w:rPr>
            </w:pPr>
          </w:p>
        </w:tc>
        <w:tc>
          <w:tcPr>
            <w:tcW w:w="880" w:type="dxa"/>
            <w:tcBorders>
              <w:left w:val="single" w:sz="6" w:space="0" w:color="000000"/>
            </w:tcBorders>
            <w:vAlign w:val="center"/>
          </w:tcPr>
          <w:p>
            <w:pPr>
              <w:spacing w:line="300" w:lineRule="exact"/>
              <w:jc w:val="left"/>
              <w:rPr>
                <w:rFonts w:ascii="仿宋_GB2312" w:eastAsia="仿宋_GB2312"/>
              </w:rPr>
            </w:pPr>
          </w:p>
        </w:tc>
        <w:tc>
          <w:tcPr>
            <w:tcW w:w="1295" w:type="dxa"/>
            <w:tcBorders>
              <w:left w:val="single" w:sz="6" w:space="0" w:color="000000"/>
            </w:tcBorders>
            <w:vAlign w:val="center"/>
          </w:tcPr>
          <w:p>
            <w:pPr>
              <w:spacing w:line="300" w:lineRule="exact"/>
              <w:jc w:val="left"/>
              <w:rPr>
                <w:rFonts w:ascii="仿宋_GB2312" w:eastAsia="仿宋_GB2312"/>
              </w:rPr>
            </w:pPr>
          </w:p>
        </w:tc>
        <w:tc>
          <w:tcPr>
            <w:tcW w:w="679" w:type="dxa"/>
            <w:tcBorders>
              <w:left w:val="single" w:sz="6" w:space="0" w:color="000000"/>
            </w:tcBorders>
            <w:vAlign w:val="center"/>
          </w:tcPr>
          <w:p>
            <w:pPr>
              <w:spacing w:line="300" w:lineRule="exact"/>
              <w:jc w:val="left"/>
              <w:rPr>
                <w:rFonts w:ascii="仿宋_GB2312" w:eastAsia="仿宋_GB2312"/>
              </w:rPr>
            </w:pPr>
          </w:p>
        </w:tc>
        <w:tc>
          <w:tcPr>
            <w:tcW w:w="699" w:type="dxa"/>
            <w:tcBorders>
              <w:left w:val="single" w:sz="6" w:space="0" w:color="000000"/>
            </w:tcBorders>
            <w:vAlign w:val="center"/>
          </w:tcPr>
          <w:p>
            <w:pPr>
              <w:spacing w:line="300" w:lineRule="exact"/>
              <w:jc w:val="right"/>
              <w:rPr>
                <w:rFonts w:ascii="仿宋_GB2312" w:eastAsia="仿宋_GB2312"/>
              </w:rPr>
            </w:pPr>
          </w:p>
        </w:tc>
        <w:tc>
          <w:tcPr>
            <w:tcW w:w="897"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704" w:type="dxa"/>
            <w:tcBorders>
              <w:left w:val="single" w:sz="6" w:space="0" w:color="000000"/>
            </w:tcBorders>
            <w:vAlign w:val="center"/>
          </w:tcPr>
          <w:p>
            <w:pPr>
              <w:spacing w:line="300" w:lineRule="exact"/>
              <w:jc w:val="right"/>
              <w:rPr>
                <w:rFonts w:ascii="仿宋_GB2312" w:eastAsia="仿宋_GB2312"/>
              </w:rPr>
            </w:pPr>
          </w:p>
        </w:tc>
        <w:tc>
          <w:tcPr>
            <w:tcW w:w="913" w:type="dxa"/>
            <w:tcBorders>
              <w:left w:val="single" w:sz="6" w:space="0" w:color="000000"/>
            </w:tcBorders>
            <w:vAlign w:val="center"/>
          </w:tcPr>
          <w:p>
            <w:pPr>
              <w:spacing w:line="300" w:lineRule="exact"/>
              <w:jc w:val="right"/>
              <w:rPr>
                <w:rFonts w:ascii="仿宋_GB2312" w:eastAsia="仿宋_GB2312"/>
              </w:rPr>
            </w:pPr>
          </w:p>
        </w:tc>
        <w:tc>
          <w:tcPr>
            <w:tcW w:w="877" w:type="dxa"/>
            <w:tcBorders>
              <w:left w:val="single" w:sz="6" w:space="0" w:color="000000"/>
            </w:tcBorders>
            <w:vAlign w:val="center"/>
          </w:tcPr>
          <w:p>
            <w:pPr>
              <w:spacing w:line="300" w:lineRule="exact"/>
              <w:jc w:val="right"/>
              <w:rPr>
                <w:rFonts w:ascii="仿宋_GB2312" w:eastAsia="仿宋_GB2312"/>
              </w:rPr>
            </w:pPr>
          </w:p>
        </w:tc>
        <w:tc>
          <w:tcPr>
            <w:tcW w:w="831" w:type="dxa"/>
            <w:tcBorders>
              <w:left w:val="single" w:sz="6" w:space="0" w:color="000000"/>
            </w:tcBorders>
            <w:vAlign w:val="center"/>
          </w:tcPr>
          <w:p>
            <w:pPr>
              <w:spacing w:line="300" w:lineRule="exact"/>
              <w:jc w:val="right"/>
              <w:rPr>
                <w:rFonts w:ascii="仿宋_GB2312" w:eastAsia="仿宋_GB2312"/>
              </w:rPr>
            </w:pPr>
          </w:p>
        </w:tc>
      </w:tr>
      <w:tr>
        <w:tc>
          <w:tcPr>
            <w:tcW w:w="2273" w:type="dxa"/>
            <w:vAlign w:val="center"/>
          </w:tcPr>
          <w:p>
            <w:pPr>
              <w:spacing w:line="300" w:lineRule="exact"/>
              <w:jc w:val="left"/>
              <w:rPr>
                <w:rFonts w:ascii="仿宋_GB2312" w:eastAsia="仿宋_GB2312"/>
              </w:rPr>
            </w:pPr>
          </w:p>
        </w:tc>
        <w:tc>
          <w:tcPr>
            <w:tcW w:w="998" w:type="dxa"/>
            <w:tcBorders>
              <w:left w:val="single" w:sz="6" w:space="0" w:color="000000"/>
            </w:tcBorders>
            <w:vAlign w:val="center"/>
          </w:tcPr>
          <w:p>
            <w:pPr>
              <w:spacing w:line="300" w:lineRule="exact"/>
              <w:jc w:val="right"/>
              <w:rPr>
                <w:rFonts w:ascii="仿宋_GB2312" w:eastAsia="仿宋_GB2312"/>
              </w:rPr>
            </w:pPr>
          </w:p>
        </w:tc>
        <w:tc>
          <w:tcPr>
            <w:tcW w:w="880" w:type="dxa"/>
            <w:tcBorders>
              <w:left w:val="single" w:sz="6" w:space="0" w:color="000000"/>
            </w:tcBorders>
            <w:vAlign w:val="center"/>
          </w:tcPr>
          <w:p>
            <w:pPr>
              <w:spacing w:line="300" w:lineRule="exact"/>
              <w:jc w:val="left"/>
              <w:rPr>
                <w:rFonts w:ascii="仿宋_GB2312" w:eastAsia="仿宋_GB2312"/>
              </w:rPr>
            </w:pPr>
          </w:p>
        </w:tc>
        <w:tc>
          <w:tcPr>
            <w:tcW w:w="1295" w:type="dxa"/>
            <w:tcBorders>
              <w:left w:val="single" w:sz="6" w:space="0" w:color="000000"/>
            </w:tcBorders>
            <w:vAlign w:val="center"/>
          </w:tcPr>
          <w:p>
            <w:pPr>
              <w:spacing w:line="300" w:lineRule="exact"/>
              <w:jc w:val="left"/>
              <w:rPr>
                <w:rFonts w:ascii="仿宋_GB2312" w:eastAsia="仿宋_GB2312"/>
              </w:rPr>
            </w:pPr>
          </w:p>
        </w:tc>
        <w:tc>
          <w:tcPr>
            <w:tcW w:w="679" w:type="dxa"/>
            <w:tcBorders>
              <w:left w:val="single" w:sz="6" w:space="0" w:color="000000"/>
            </w:tcBorders>
            <w:vAlign w:val="center"/>
          </w:tcPr>
          <w:p>
            <w:pPr>
              <w:spacing w:line="300" w:lineRule="exact"/>
              <w:jc w:val="left"/>
              <w:rPr>
                <w:rFonts w:ascii="仿宋_GB2312" w:eastAsia="仿宋_GB2312"/>
              </w:rPr>
            </w:pPr>
          </w:p>
        </w:tc>
        <w:tc>
          <w:tcPr>
            <w:tcW w:w="699" w:type="dxa"/>
            <w:tcBorders>
              <w:left w:val="single" w:sz="6" w:space="0" w:color="000000"/>
            </w:tcBorders>
            <w:vAlign w:val="center"/>
          </w:tcPr>
          <w:p>
            <w:pPr>
              <w:spacing w:line="300" w:lineRule="exact"/>
              <w:jc w:val="right"/>
              <w:rPr>
                <w:rFonts w:ascii="仿宋_GB2312" w:eastAsia="仿宋_GB2312"/>
              </w:rPr>
            </w:pPr>
          </w:p>
        </w:tc>
        <w:tc>
          <w:tcPr>
            <w:tcW w:w="897"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704" w:type="dxa"/>
            <w:tcBorders>
              <w:left w:val="single" w:sz="6" w:space="0" w:color="000000"/>
            </w:tcBorders>
            <w:vAlign w:val="center"/>
          </w:tcPr>
          <w:p>
            <w:pPr>
              <w:spacing w:line="300" w:lineRule="exact"/>
              <w:jc w:val="right"/>
              <w:rPr>
                <w:rFonts w:ascii="仿宋_GB2312" w:eastAsia="仿宋_GB2312"/>
              </w:rPr>
            </w:pPr>
          </w:p>
        </w:tc>
        <w:tc>
          <w:tcPr>
            <w:tcW w:w="913" w:type="dxa"/>
            <w:tcBorders>
              <w:left w:val="single" w:sz="6" w:space="0" w:color="000000"/>
            </w:tcBorders>
            <w:vAlign w:val="center"/>
          </w:tcPr>
          <w:p>
            <w:pPr>
              <w:spacing w:line="300" w:lineRule="exact"/>
              <w:jc w:val="right"/>
              <w:rPr>
                <w:rFonts w:ascii="仿宋_GB2312" w:eastAsia="仿宋_GB2312"/>
              </w:rPr>
            </w:pPr>
          </w:p>
        </w:tc>
        <w:tc>
          <w:tcPr>
            <w:tcW w:w="877" w:type="dxa"/>
            <w:tcBorders>
              <w:left w:val="single" w:sz="6" w:space="0" w:color="000000"/>
            </w:tcBorders>
            <w:vAlign w:val="center"/>
          </w:tcPr>
          <w:p>
            <w:pPr>
              <w:spacing w:line="300" w:lineRule="exact"/>
              <w:jc w:val="right"/>
              <w:rPr>
                <w:rFonts w:ascii="仿宋_GB2312" w:eastAsia="仿宋_GB2312"/>
              </w:rPr>
            </w:pPr>
          </w:p>
        </w:tc>
        <w:tc>
          <w:tcPr>
            <w:tcW w:w="831" w:type="dxa"/>
            <w:tcBorders>
              <w:left w:val="single" w:sz="6" w:space="0" w:color="000000"/>
            </w:tcBorders>
            <w:vAlign w:val="center"/>
          </w:tcPr>
          <w:p>
            <w:pPr>
              <w:spacing w:line="300" w:lineRule="exact"/>
              <w:jc w:val="right"/>
              <w:rPr>
                <w:rFonts w:ascii="仿宋_GB2312" w:eastAsia="仿宋_GB2312"/>
              </w:rPr>
            </w:pPr>
          </w:p>
        </w:tc>
      </w:tr>
      <w:tr>
        <w:tc>
          <w:tcPr>
            <w:tcW w:w="2273" w:type="dxa"/>
            <w:vAlign w:val="center"/>
          </w:tcPr>
          <w:p>
            <w:pPr>
              <w:spacing w:line="300" w:lineRule="exact"/>
              <w:jc w:val="left"/>
              <w:rPr>
                <w:rFonts w:ascii="仿宋_GB2312" w:eastAsia="仿宋_GB2312"/>
              </w:rPr>
            </w:pPr>
          </w:p>
        </w:tc>
        <w:tc>
          <w:tcPr>
            <w:tcW w:w="998" w:type="dxa"/>
            <w:tcBorders>
              <w:left w:val="single" w:sz="6" w:space="0" w:color="000000"/>
            </w:tcBorders>
            <w:vAlign w:val="center"/>
          </w:tcPr>
          <w:p>
            <w:pPr>
              <w:spacing w:line="300" w:lineRule="exact"/>
              <w:jc w:val="right"/>
              <w:rPr>
                <w:rFonts w:ascii="仿宋_GB2312" w:eastAsia="仿宋_GB2312"/>
              </w:rPr>
            </w:pPr>
          </w:p>
        </w:tc>
        <w:tc>
          <w:tcPr>
            <w:tcW w:w="880" w:type="dxa"/>
            <w:tcBorders>
              <w:left w:val="single" w:sz="6" w:space="0" w:color="000000"/>
            </w:tcBorders>
            <w:vAlign w:val="center"/>
          </w:tcPr>
          <w:p>
            <w:pPr>
              <w:spacing w:line="300" w:lineRule="exact"/>
              <w:jc w:val="left"/>
              <w:rPr>
                <w:rFonts w:ascii="仿宋_GB2312" w:eastAsia="仿宋_GB2312"/>
              </w:rPr>
            </w:pPr>
          </w:p>
        </w:tc>
        <w:tc>
          <w:tcPr>
            <w:tcW w:w="1295" w:type="dxa"/>
            <w:tcBorders>
              <w:left w:val="single" w:sz="6" w:space="0" w:color="000000"/>
            </w:tcBorders>
            <w:vAlign w:val="center"/>
          </w:tcPr>
          <w:p>
            <w:pPr>
              <w:spacing w:line="300" w:lineRule="exact"/>
              <w:jc w:val="left"/>
              <w:rPr>
                <w:rFonts w:ascii="仿宋_GB2312" w:eastAsia="仿宋_GB2312"/>
              </w:rPr>
            </w:pPr>
          </w:p>
        </w:tc>
        <w:tc>
          <w:tcPr>
            <w:tcW w:w="679" w:type="dxa"/>
            <w:tcBorders>
              <w:left w:val="single" w:sz="6" w:space="0" w:color="000000"/>
            </w:tcBorders>
            <w:vAlign w:val="center"/>
          </w:tcPr>
          <w:p>
            <w:pPr>
              <w:spacing w:line="300" w:lineRule="exact"/>
              <w:jc w:val="left"/>
              <w:rPr>
                <w:rFonts w:ascii="仿宋_GB2312" w:eastAsia="仿宋_GB2312"/>
              </w:rPr>
            </w:pPr>
          </w:p>
        </w:tc>
        <w:tc>
          <w:tcPr>
            <w:tcW w:w="699" w:type="dxa"/>
            <w:tcBorders>
              <w:left w:val="single" w:sz="6" w:space="0" w:color="000000"/>
            </w:tcBorders>
            <w:vAlign w:val="center"/>
          </w:tcPr>
          <w:p>
            <w:pPr>
              <w:spacing w:line="300" w:lineRule="exact"/>
              <w:jc w:val="right"/>
              <w:rPr>
                <w:rFonts w:ascii="仿宋_GB2312" w:eastAsia="仿宋_GB2312"/>
              </w:rPr>
            </w:pPr>
          </w:p>
        </w:tc>
        <w:tc>
          <w:tcPr>
            <w:tcW w:w="897"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704" w:type="dxa"/>
            <w:tcBorders>
              <w:left w:val="single" w:sz="6" w:space="0" w:color="000000"/>
            </w:tcBorders>
            <w:vAlign w:val="center"/>
          </w:tcPr>
          <w:p>
            <w:pPr>
              <w:spacing w:line="300" w:lineRule="exact"/>
              <w:jc w:val="right"/>
              <w:rPr>
                <w:rFonts w:ascii="仿宋_GB2312" w:eastAsia="仿宋_GB2312"/>
              </w:rPr>
            </w:pPr>
          </w:p>
        </w:tc>
        <w:tc>
          <w:tcPr>
            <w:tcW w:w="913" w:type="dxa"/>
            <w:tcBorders>
              <w:left w:val="single" w:sz="6" w:space="0" w:color="000000"/>
            </w:tcBorders>
            <w:vAlign w:val="center"/>
          </w:tcPr>
          <w:p>
            <w:pPr>
              <w:spacing w:line="300" w:lineRule="exact"/>
              <w:jc w:val="right"/>
              <w:rPr>
                <w:rFonts w:ascii="仿宋_GB2312" w:eastAsia="仿宋_GB2312"/>
              </w:rPr>
            </w:pPr>
          </w:p>
        </w:tc>
        <w:tc>
          <w:tcPr>
            <w:tcW w:w="877" w:type="dxa"/>
            <w:tcBorders>
              <w:left w:val="single" w:sz="6" w:space="0" w:color="000000"/>
            </w:tcBorders>
            <w:vAlign w:val="center"/>
          </w:tcPr>
          <w:p>
            <w:pPr>
              <w:spacing w:line="300" w:lineRule="exact"/>
              <w:jc w:val="right"/>
              <w:rPr>
                <w:rFonts w:ascii="仿宋_GB2312" w:eastAsia="仿宋_GB2312"/>
              </w:rPr>
            </w:pPr>
          </w:p>
        </w:tc>
        <w:tc>
          <w:tcPr>
            <w:tcW w:w="831" w:type="dxa"/>
            <w:tcBorders>
              <w:left w:val="single" w:sz="6" w:space="0" w:color="000000"/>
            </w:tcBorders>
            <w:vAlign w:val="center"/>
          </w:tcPr>
          <w:p>
            <w:pPr>
              <w:spacing w:line="300" w:lineRule="exact"/>
              <w:jc w:val="right"/>
              <w:rPr>
                <w:rFonts w:ascii="仿宋_GB2312" w:eastAsia="仿宋_GB2312"/>
              </w:rPr>
            </w:pPr>
          </w:p>
        </w:tc>
      </w:tr>
      <w:tr>
        <w:tc>
          <w:tcPr>
            <w:tcW w:w="2273" w:type="dxa"/>
            <w:vAlign w:val="center"/>
          </w:tcPr>
          <w:p>
            <w:pPr>
              <w:spacing w:line="300" w:lineRule="exact"/>
              <w:jc w:val="left"/>
              <w:rPr>
                <w:rFonts w:ascii="仿宋_GB2312" w:eastAsia="仿宋_GB2312"/>
              </w:rPr>
            </w:pPr>
          </w:p>
        </w:tc>
        <w:tc>
          <w:tcPr>
            <w:tcW w:w="998" w:type="dxa"/>
            <w:tcBorders>
              <w:left w:val="single" w:sz="6" w:space="0" w:color="000000"/>
            </w:tcBorders>
            <w:vAlign w:val="center"/>
          </w:tcPr>
          <w:p>
            <w:pPr>
              <w:spacing w:line="300" w:lineRule="exact"/>
              <w:jc w:val="right"/>
              <w:rPr>
                <w:rFonts w:ascii="仿宋_GB2312" w:eastAsia="仿宋_GB2312"/>
              </w:rPr>
            </w:pPr>
          </w:p>
        </w:tc>
        <w:tc>
          <w:tcPr>
            <w:tcW w:w="880" w:type="dxa"/>
            <w:tcBorders>
              <w:left w:val="single" w:sz="6" w:space="0" w:color="000000"/>
            </w:tcBorders>
            <w:vAlign w:val="center"/>
          </w:tcPr>
          <w:p>
            <w:pPr>
              <w:spacing w:line="300" w:lineRule="exact"/>
              <w:jc w:val="left"/>
              <w:rPr>
                <w:rFonts w:ascii="仿宋_GB2312" w:eastAsia="仿宋_GB2312"/>
              </w:rPr>
            </w:pPr>
          </w:p>
        </w:tc>
        <w:tc>
          <w:tcPr>
            <w:tcW w:w="1295" w:type="dxa"/>
            <w:tcBorders>
              <w:left w:val="single" w:sz="6" w:space="0" w:color="000000"/>
            </w:tcBorders>
            <w:vAlign w:val="center"/>
          </w:tcPr>
          <w:p>
            <w:pPr>
              <w:spacing w:line="300" w:lineRule="exact"/>
              <w:jc w:val="left"/>
              <w:rPr>
                <w:rFonts w:ascii="仿宋_GB2312" w:eastAsia="仿宋_GB2312"/>
              </w:rPr>
            </w:pPr>
          </w:p>
        </w:tc>
        <w:tc>
          <w:tcPr>
            <w:tcW w:w="679" w:type="dxa"/>
            <w:tcBorders>
              <w:left w:val="single" w:sz="6" w:space="0" w:color="000000"/>
            </w:tcBorders>
            <w:vAlign w:val="center"/>
          </w:tcPr>
          <w:p>
            <w:pPr>
              <w:spacing w:line="300" w:lineRule="exact"/>
              <w:jc w:val="left"/>
              <w:rPr>
                <w:rFonts w:ascii="仿宋_GB2312" w:eastAsia="仿宋_GB2312"/>
              </w:rPr>
            </w:pPr>
          </w:p>
        </w:tc>
        <w:tc>
          <w:tcPr>
            <w:tcW w:w="699" w:type="dxa"/>
            <w:tcBorders>
              <w:left w:val="single" w:sz="6" w:space="0" w:color="000000"/>
            </w:tcBorders>
            <w:vAlign w:val="center"/>
          </w:tcPr>
          <w:p>
            <w:pPr>
              <w:spacing w:line="300" w:lineRule="exact"/>
              <w:jc w:val="right"/>
              <w:rPr>
                <w:rFonts w:ascii="仿宋_GB2312" w:eastAsia="仿宋_GB2312"/>
              </w:rPr>
            </w:pPr>
          </w:p>
        </w:tc>
        <w:tc>
          <w:tcPr>
            <w:tcW w:w="897"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704" w:type="dxa"/>
            <w:tcBorders>
              <w:left w:val="single" w:sz="6" w:space="0" w:color="000000"/>
            </w:tcBorders>
            <w:vAlign w:val="center"/>
          </w:tcPr>
          <w:p>
            <w:pPr>
              <w:spacing w:line="300" w:lineRule="exact"/>
              <w:jc w:val="right"/>
              <w:rPr>
                <w:rFonts w:ascii="仿宋_GB2312" w:eastAsia="仿宋_GB2312"/>
              </w:rPr>
            </w:pPr>
          </w:p>
        </w:tc>
        <w:tc>
          <w:tcPr>
            <w:tcW w:w="913" w:type="dxa"/>
            <w:tcBorders>
              <w:left w:val="single" w:sz="6" w:space="0" w:color="000000"/>
            </w:tcBorders>
            <w:vAlign w:val="center"/>
          </w:tcPr>
          <w:p>
            <w:pPr>
              <w:spacing w:line="300" w:lineRule="exact"/>
              <w:jc w:val="right"/>
              <w:rPr>
                <w:rFonts w:ascii="仿宋_GB2312" w:eastAsia="仿宋_GB2312"/>
              </w:rPr>
            </w:pPr>
          </w:p>
        </w:tc>
        <w:tc>
          <w:tcPr>
            <w:tcW w:w="877" w:type="dxa"/>
            <w:tcBorders>
              <w:left w:val="single" w:sz="6" w:space="0" w:color="000000"/>
            </w:tcBorders>
            <w:vAlign w:val="center"/>
          </w:tcPr>
          <w:p>
            <w:pPr>
              <w:spacing w:line="300" w:lineRule="exact"/>
              <w:jc w:val="right"/>
              <w:rPr>
                <w:rFonts w:ascii="仿宋_GB2312" w:eastAsia="仿宋_GB2312"/>
              </w:rPr>
            </w:pPr>
          </w:p>
        </w:tc>
        <w:tc>
          <w:tcPr>
            <w:tcW w:w="831" w:type="dxa"/>
            <w:tcBorders>
              <w:left w:val="single" w:sz="6" w:space="0" w:color="000000"/>
            </w:tcBorders>
            <w:vAlign w:val="center"/>
          </w:tcPr>
          <w:p>
            <w:pPr>
              <w:spacing w:line="300" w:lineRule="exact"/>
              <w:jc w:val="right"/>
              <w:rPr>
                <w:rFonts w:ascii="仿宋_GB2312" w:eastAsia="仿宋_GB2312"/>
              </w:rPr>
            </w:pPr>
          </w:p>
        </w:tc>
      </w:tr>
      <w:tr>
        <w:tc>
          <w:tcPr>
            <w:tcW w:w="2273" w:type="dxa"/>
            <w:vAlign w:val="center"/>
          </w:tcPr>
          <w:p>
            <w:pPr>
              <w:spacing w:line="300" w:lineRule="exact"/>
              <w:jc w:val="center"/>
              <w:rPr>
                <w:rFonts w:ascii="仿宋_GB2312" w:eastAsia="仿宋_GB2312"/>
                <w:b/>
              </w:rPr>
            </w:pPr>
          </w:p>
        </w:tc>
        <w:tc>
          <w:tcPr>
            <w:tcW w:w="998" w:type="dxa"/>
            <w:tcBorders>
              <w:left w:val="single" w:sz="6" w:space="0" w:color="000000"/>
            </w:tcBorders>
            <w:vAlign w:val="center"/>
          </w:tcPr>
          <w:p>
            <w:pPr>
              <w:spacing w:line="300" w:lineRule="exact"/>
              <w:jc w:val="right"/>
              <w:rPr>
                <w:rFonts w:ascii="仿宋_GB2312" w:eastAsia="仿宋_GB2312"/>
                <w:b/>
              </w:rPr>
            </w:pPr>
          </w:p>
        </w:tc>
        <w:tc>
          <w:tcPr>
            <w:tcW w:w="880" w:type="dxa"/>
            <w:tcBorders>
              <w:left w:val="single" w:sz="6" w:space="0" w:color="000000"/>
            </w:tcBorders>
            <w:vAlign w:val="center"/>
          </w:tcPr>
          <w:p>
            <w:pPr>
              <w:spacing w:line="300" w:lineRule="exact"/>
              <w:jc w:val="left"/>
              <w:rPr>
                <w:rFonts w:ascii="仿宋_GB2312" w:eastAsia="仿宋_GB2312"/>
                <w:b/>
              </w:rPr>
            </w:pPr>
          </w:p>
        </w:tc>
        <w:tc>
          <w:tcPr>
            <w:tcW w:w="1295" w:type="dxa"/>
            <w:tcBorders>
              <w:left w:val="single" w:sz="6" w:space="0" w:color="000000"/>
            </w:tcBorders>
            <w:vAlign w:val="center"/>
          </w:tcPr>
          <w:p>
            <w:pPr>
              <w:spacing w:line="300" w:lineRule="exact"/>
              <w:jc w:val="left"/>
              <w:rPr>
                <w:rFonts w:ascii="仿宋_GB2312" w:eastAsia="仿宋_GB2312"/>
                <w:b/>
              </w:rPr>
            </w:pPr>
          </w:p>
        </w:tc>
        <w:tc>
          <w:tcPr>
            <w:tcW w:w="679" w:type="dxa"/>
            <w:tcBorders>
              <w:left w:val="single" w:sz="6" w:space="0" w:color="000000"/>
            </w:tcBorders>
            <w:vAlign w:val="center"/>
          </w:tcPr>
          <w:p>
            <w:pPr>
              <w:spacing w:line="300" w:lineRule="exact"/>
              <w:jc w:val="left"/>
              <w:rPr>
                <w:rFonts w:ascii="仿宋_GB2312" w:eastAsia="仿宋_GB2312"/>
                <w:b/>
              </w:rPr>
            </w:pPr>
          </w:p>
        </w:tc>
        <w:tc>
          <w:tcPr>
            <w:tcW w:w="699" w:type="dxa"/>
            <w:tcBorders>
              <w:left w:val="single" w:sz="6" w:space="0" w:color="000000"/>
            </w:tcBorders>
            <w:vAlign w:val="center"/>
          </w:tcPr>
          <w:p>
            <w:pPr>
              <w:spacing w:line="300" w:lineRule="exact"/>
              <w:jc w:val="right"/>
              <w:rPr>
                <w:rFonts w:ascii="仿宋_GB2312" w:eastAsia="仿宋_GB2312"/>
                <w:b/>
              </w:rPr>
            </w:pPr>
          </w:p>
        </w:tc>
        <w:tc>
          <w:tcPr>
            <w:tcW w:w="897" w:type="dxa"/>
            <w:tcBorders>
              <w:left w:val="single" w:sz="6" w:space="0" w:color="000000"/>
            </w:tcBorders>
            <w:vAlign w:val="center"/>
          </w:tcPr>
          <w:p>
            <w:pPr>
              <w:spacing w:line="300" w:lineRule="exact"/>
              <w:jc w:val="right"/>
              <w:rPr>
                <w:rFonts w:ascii="仿宋_GB2312" w:eastAsia="仿宋_GB2312"/>
                <w:b/>
              </w:rPr>
            </w:pPr>
          </w:p>
        </w:tc>
        <w:tc>
          <w:tcPr>
            <w:tcW w:w="902" w:type="dxa"/>
            <w:tcBorders>
              <w:left w:val="single" w:sz="6" w:space="0" w:color="000000"/>
            </w:tcBorders>
            <w:vAlign w:val="center"/>
          </w:tcPr>
          <w:p>
            <w:pPr>
              <w:spacing w:line="300" w:lineRule="exact"/>
              <w:jc w:val="right"/>
              <w:rPr>
                <w:rFonts w:ascii="仿宋_GB2312" w:eastAsia="仿宋_GB2312"/>
                <w:b/>
              </w:rPr>
            </w:pPr>
          </w:p>
        </w:tc>
        <w:tc>
          <w:tcPr>
            <w:tcW w:w="902" w:type="dxa"/>
            <w:tcBorders>
              <w:left w:val="single" w:sz="6" w:space="0" w:color="000000"/>
            </w:tcBorders>
            <w:vAlign w:val="center"/>
          </w:tcPr>
          <w:p>
            <w:pPr>
              <w:spacing w:line="300" w:lineRule="exact"/>
              <w:jc w:val="right"/>
              <w:rPr>
                <w:rFonts w:ascii="仿宋_GB2312" w:eastAsia="仿宋_GB2312"/>
                <w:b/>
              </w:rPr>
            </w:pPr>
          </w:p>
        </w:tc>
        <w:tc>
          <w:tcPr>
            <w:tcW w:w="902" w:type="dxa"/>
            <w:tcBorders>
              <w:left w:val="single" w:sz="6" w:space="0" w:color="000000"/>
            </w:tcBorders>
            <w:vAlign w:val="center"/>
          </w:tcPr>
          <w:p>
            <w:pPr>
              <w:spacing w:line="300" w:lineRule="exact"/>
              <w:jc w:val="right"/>
              <w:rPr>
                <w:rFonts w:ascii="仿宋_GB2312" w:eastAsia="仿宋_GB2312"/>
                <w:b/>
              </w:rPr>
            </w:pPr>
          </w:p>
        </w:tc>
        <w:tc>
          <w:tcPr>
            <w:tcW w:w="704" w:type="dxa"/>
            <w:tcBorders>
              <w:left w:val="single" w:sz="6" w:space="0" w:color="000000"/>
            </w:tcBorders>
            <w:vAlign w:val="center"/>
          </w:tcPr>
          <w:p>
            <w:pPr>
              <w:spacing w:line="300" w:lineRule="exact"/>
              <w:jc w:val="right"/>
              <w:rPr>
                <w:rFonts w:ascii="仿宋_GB2312" w:eastAsia="仿宋_GB2312"/>
                <w:b/>
              </w:rPr>
            </w:pPr>
          </w:p>
        </w:tc>
        <w:tc>
          <w:tcPr>
            <w:tcW w:w="913" w:type="dxa"/>
            <w:tcBorders>
              <w:left w:val="single" w:sz="6" w:space="0" w:color="000000"/>
            </w:tcBorders>
            <w:vAlign w:val="center"/>
          </w:tcPr>
          <w:p>
            <w:pPr>
              <w:spacing w:line="300" w:lineRule="exact"/>
              <w:jc w:val="right"/>
              <w:rPr>
                <w:rFonts w:ascii="仿宋_GB2312" w:eastAsia="仿宋_GB2312"/>
                <w:b/>
              </w:rPr>
            </w:pPr>
          </w:p>
        </w:tc>
        <w:tc>
          <w:tcPr>
            <w:tcW w:w="877" w:type="dxa"/>
            <w:tcBorders>
              <w:left w:val="single" w:sz="6" w:space="0" w:color="000000"/>
            </w:tcBorders>
            <w:vAlign w:val="center"/>
          </w:tcPr>
          <w:p>
            <w:pPr>
              <w:spacing w:line="300" w:lineRule="exact"/>
              <w:jc w:val="right"/>
              <w:rPr>
                <w:rFonts w:ascii="仿宋_GB2312" w:eastAsia="仿宋_GB2312"/>
                <w:b/>
              </w:rPr>
            </w:pPr>
          </w:p>
        </w:tc>
        <w:tc>
          <w:tcPr>
            <w:tcW w:w="831" w:type="dxa"/>
            <w:tcBorders>
              <w:left w:val="single" w:sz="6" w:space="0" w:color="000000"/>
            </w:tcBorders>
            <w:vAlign w:val="center"/>
          </w:tcPr>
          <w:p>
            <w:pPr>
              <w:spacing w:line="300" w:lineRule="exact"/>
              <w:jc w:val="right"/>
              <w:rPr>
                <w:rFonts w:ascii="仿宋_GB2312" w:eastAsia="仿宋_GB2312"/>
                <w:b/>
              </w:rPr>
            </w:pPr>
          </w:p>
        </w:tc>
      </w:tr>
      <w:tr>
        <w:tc>
          <w:tcPr>
            <w:tcW w:w="2273" w:type="dxa"/>
            <w:vAlign w:val="center"/>
          </w:tcPr>
          <w:p>
            <w:pPr>
              <w:spacing w:line="300" w:lineRule="exact"/>
              <w:jc w:val="left"/>
              <w:rPr>
                <w:rFonts w:ascii="仿宋_GB2312" w:eastAsia="仿宋_GB2312"/>
              </w:rPr>
            </w:pPr>
          </w:p>
        </w:tc>
        <w:tc>
          <w:tcPr>
            <w:tcW w:w="998" w:type="dxa"/>
            <w:tcBorders>
              <w:left w:val="single" w:sz="6" w:space="0" w:color="000000"/>
            </w:tcBorders>
            <w:vAlign w:val="center"/>
          </w:tcPr>
          <w:p>
            <w:pPr>
              <w:spacing w:line="300" w:lineRule="exact"/>
              <w:jc w:val="right"/>
              <w:rPr>
                <w:rFonts w:ascii="仿宋_GB2312" w:eastAsia="仿宋_GB2312"/>
              </w:rPr>
            </w:pPr>
          </w:p>
        </w:tc>
        <w:tc>
          <w:tcPr>
            <w:tcW w:w="880" w:type="dxa"/>
            <w:tcBorders>
              <w:left w:val="single" w:sz="6" w:space="0" w:color="000000"/>
            </w:tcBorders>
            <w:vAlign w:val="center"/>
          </w:tcPr>
          <w:p>
            <w:pPr>
              <w:spacing w:line="300" w:lineRule="exact"/>
              <w:jc w:val="left"/>
              <w:rPr>
                <w:rFonts w:ascii="仿宋_GB2312" w:eastAsia="仿宋_GB2312"/>
              </w:rPr>
            </w:pPr>
          </w:p>
        </w:tc>
        <w:tc>
          <w:tcPr>
            <w:tcW w:w="1295" w:type="dxa"/>
            <w:tcBorders>
              <w:left w:val="single" w:sz="6" w:space="0" w:color="000000"/>
            </w:tcBorders>
            <w:vAlign w:val="center"/>
          </w:tcPr>
          <w:p>
            <w:pPr>
              <w:spacing w:line="300" w:lineRule="exact"/>
              <w:jc w:val="left"/>
              <w:rPr>
                <w:rFonts w:ascii="仿宋_GB2312" w:eastAsia="仿宋_GB2312"/>
              </w:rPr>
            </w:pPr>
          </w:p>
        </w:tc>
        <w:tc>
          <w:tcPr>
            <w:tcW w:w="679" w:type="dxa"/>
            <w:tcBorders>
              <w:left w:val="single" w:sz="6" w:space="0" w:color="000000"/>
            </w:tcBorders>
            <w:vAlign w:val="center"/>
          </w:tcPr>
          <w:p>
            <w:pPr>
              <w:spacing w:line="300" w:lineRule="exact"/>
              <w:jc w:val="left"/>
              <w:rPr>
                <w:rFonts w:ascii="仿宋_GB2312" w:eastAsia="仿宋_GB2312"/>
              </w:rPr>
            </w:pPr>
          </w:p>
        </w:tc>
        <w:tc>
          <w:tcPr>
            <w:tcW w:w="699" w:type="dxa"/>
            <w:tcBorders>
              <w:left w:val="single" w:sz="6" w:space="0" w:color="000000"/>
            </w:tcBorders>
            <w:vAlign w:val="center"/>
          </w:tcPr>
          <w:p>
            <w:pPr>
              <w:spacing w:line="300" w:lineRule="exact"/>
              <w:jc w:val="right"/>
              <w:rPr>
                <w:rFonts w:ascii="仿宋_GB2312" w:eastAsia="仿宋_GB2312"/>
              </w:rPr>
            </w:pPr>
          </w:p>
        </w:tc>
        <w:tc>
          <w:tcPr>
            <w:tcW w:w="897"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902" w:type="dxa"/>
            <w:tcBorders>
              <w:left w:val="single" w:sz="6" w:space="0" w:color="000000"/>
            </w:tcBorders>
            <w:vAlign w:val="center"/>
          </w:tcPr>
          <w:p>
            <w:pPr>
              <w:spacing w:line="300" w:lineRule="exact"/>
              <w:jc w:val="right"/>
              <w:rPr>
                <w:rFonts w:ascii="仿宋_GB2312" w:eastAsia="仿宋_GB2312"/>
              </w:rPr>
            </w:pPr>
          </w:p>
        </w:tc>
        <w:tc>
          <w:tcPr>
            <w:tcW w:w="704" w:type="dxa"/>
            <w:tcBorders>
              <w:left w:val="single" w:sz="6" w:space="0" w:color="000000"/>
            </w:tcBorders>
            <w:vAlign w:val="center"/>
          </w:tcPr>
          <w:p>
            <w:pPr>
              <w:spacing w:line="300" w:lineRule="exact"/>
              <w:jc w:val="right"/>
              <w:rPr>
                <w:rFonts w:ascii="仿宋_GB2312" w:eastAsia="仿宋_GB2312"/>
              </w:rPr>
            </w:pPr>
          </w:p>
        </w:tc>
        <w:tc>
          <w:tcPr>
            <w:tcW w:w="913" w:type="dxa"/>
            <w:tcBorders>
              <w:left w:val="single" w:sz="6" w:space="0" w:color="000000"/>
            </w:tcBorders>
            <w:vAlign w:val="center"/>
          </w:tcPr>
          <w:p>
            <w:pPr>
              <w:spacing w:line="300" w:lineRule="exact"/>
              <w:jc w:val="right"/>
              <w:rPr>
                <w:rFonts w:ascii="仿宋_GB2312" w:eastAsia="仿宋_GB2312"/>
              </w:rPr>
            </w:pPr>
          </w:p>
        </w:tc>
        <w:tc>
          <w:tcPr>
            <w:tcW w:w="877" w:type="dxa"/>
            <w:tcBorders>
              <w:left w:val="single" w:sz="6" w:space="0" w:color="000000"/>
            </w:tcBorders>
            <w:vAlign w:val="center"/>
          </w:tcPr>
          <w:p>
            <w:pPr>
              <w:spacing w:line="300" w:lineRule="exact"/>
              <w:jc w:val="right"/>
              <w:rPr>
                <w:rFonts w:ascii="仿宋_GB2312" w:eastAsia="仿宋_GB2312"/>
              </w:rPr>
            </w:pPr>
          </w:p>
        </w:tc>
        <w:tc>
          <w:tcPr>
            <w:tcW w:w="831" w:type="dxa"/>
            <w:tcBorders>
              <w:left w:val="single" w:sz="6" w:space="0" w:color="000000"/>
            </w:tcBorders>
            <w:vAlign w:val="center"/>
          </w:tcPr>
          <w:p>
            <w:pPr>
              <w:spacing w:line="300" w:lineRule="exact"/>
              <w:jc w:val="right"/>
              <w:rPr>
                <w:rFonts w:ascii="仿宋_GB2312" w:eastAsia="仿宋_GB2312"/>
              </w:rPr>
            </w:pPr>
          </w:p>
        </w:tc>
      </w:tr>
    </w:tbl>
    <w:p>
      <w:pPr>
        <w:autoSpaceDE w:val="0"/>
        <w:autoSpaceDN w:val="0"/>
        <w:adjustRightInd w:val="0"/>
        <w:ind w:left="198" w:firstLineChars="200" w:firstLine="640"/>
        <w:jc w:val="left"/>
        <w:rPr>
          <w:rFonts w:ascii="黑体" w:eastAsia="黑体" w:hAnsi="黑体"/>
          <w:sz w:val="32"/>
          <w:szCs w:val="32"/>
        </w:rPr>
      </w:pPr>
      <w:bookmarkEnd w:id="2"/>
      <w:r>
        <w:rPr>
          <w:rFonts w:ascii="黑体" w:eastAsia="黑体" w:hAnsi="黑体" w:hint="eastAsia"/>
          <w:sz w:val="32"/>
          <w:szCs w:val="32"/>
        </w:rPr>
        <w:t>七、国有资产信息</w:t>
      </w:r>
    </w:p>
    <w:p>
      <w:pPr>
        <w:ind w:firstLine="640"/>
        <w:rPr>
          <w:rFonts w:ascii="仿宋_GB2312" w:eastAsia="仿宋_GB2312" w:hAnsi="黑体"/>
          <w:sz w:val="32"/>
          <w:szCs w:val="32"/>
        </w:rPr>
      </w:pPr>
      <w:r>
        <w:rPr>
          <w:rFonts w:ascii="仿宋_GB2312" w:eastAsia="仿宋_GB2312" w:hAnsi="黑体" w:hint="eastAsia"/>
          <w:sz w:val="32"/>
          <w:szCs w:val="32"/>
        </w:rPr>
        <w:t>中国共产党永清县纪律检查委员会永清县监察委员会（含所属单位）上年末固定资产金额为</w:t>
      </w:r>
      <w:r>
        <w:rPr>
          <w:rFonts w:ascii="仿宋" w:eastAsia="仿宋" w:cs="仿宋" w:hAnsi="仿宋"/>
          <w:color w:val="484747"/>
          <w:sz w:val="32"/>
          <w:szCs w:val="32"/>
        </w:rPr>
        <w:t>293.08</w:t>
      </w:r>
      <w:r>
        <w:rPr>
          <w:rFonts w:ascii="仿宋_GB2312" w:eastAsia="仿宋_GB2312" w:hAnsi="黑体" w:hint="eastAsia"/>
          <w:sz w:val="32"/>
          <w:szCs w:val="32"/>
        </w:rPr>
        <w:t>万元，本年度拟购置固定资产共计</w:t>
      </w:r>
      <w:r>
        <w:rPr>
          <w:rFonts w:ascii="仿宋_GB2312" w:eastAsia="仿宋_GB2312" w:hAnsi="黑体"/>
          <w:sz w:val="32"/>
          <w:szCs w:val="32"/>
        </w:rPr>
        <w:t>58</w:t>
      </w:r>
      <w:r>
        <w:rPr>
          <w:rFonts w:ascii="仿宋_GB2312" w:eastAsia="仿宋_GB2312" w:hAnsi="黑体" w:hint="eastAsia"/>
          <w:sz w:val="32"/>
          <w:szCs w:val="32"/>
        </w:rPr>
        <w:t>万元，主要为执法执勤用车、计算机设备、打印设备、办公设备、办公家具等，已列入政府采购预算，祥见政府采购预算表。</w:t>
      </w:r>
    </w:p>
    <w:tbl>
      <w:tblPr>
        <w:jc w:val="left"/>
        <w:tblInd w:w="93" w:type="dxa"/>
        <w:tblW w:w="13482" w:type="dxa"/>
        <w:tblBorders>
          <w:top w:val="none" w:sz="0" w:space="0" w:color="auto"/>
          <w:left w:val="none" w:sz="0" w:space="0" w:color="auto"/>
          <w:bottom w:val="none" w:sz="0" w:space="0" w:color="auto"/>
          <w:right w:val="none" w:sz="0" w:space="0" w:color="auto"/>
        </w:tblBorders>
        <w:tblLayout w:type="fixed"/>
        <w:tblCellMar>
          <w:top w:w="0" w:type="dxa"/>
          <w:left w:w="108" w:type="dxa"/>
          <w:bottom w:w="0" w:type="dxa"/>
          <w:right w:w="108" w:type="dxa"/>
        </w:tblCellMar>
        <w:tblLook w:val="0600" w:firstRow="0" w:lastRow="0" w:firstColumn="0" w:lastColumn="0" w:noHBand="1" w:noVBand="1"/>
      </w:tblPr>
      <w:tblGrid>
        <w:gridCol w:w="5224"/>
        <w:gridCol w:w="3155"/>
        <w:gridCol w:w="5103"/>
      </w:tblGrid>
      <w:tr>
        <w:trPr>
          <w:trHeight w:val="705"/>
        </w:trPr>
        <w:tc>
          <w:tcPr>
            <w:tcW w:w="13482" w:type="dxa"/>
            <w:gridSpan w:val="3"/>
            <w:tcBorders>
              <w:top w:val="nil"/>
              <w:left w:val="nil"/>
              <w:bottom w:val="nil"/>
              <w:right w:val="nil"/>
            </w:tcBorders>
            <w:vAlign w:val="center"/>
          </w:tcPr>
          <w:p>
            <w:pPr>
              <w:widowControl/>
              <w:jc w:val="center"/>
              <w:rPr>
                <w:rFonts w:ascii="宋体" w:cs="宋体"/>
                <w:b/>
                <w:bCs/>
                <w:kern w:val="0"/>
                <w:sz w:val="32"/>
                <w:szCs w:val="32"/>
              </w:rPr>
            </w:pPr>
          </w:p>
          <w:p>
            <w:pPr>
              <w:widowControl/>
              <w:jc w:val="center"/>
              <w:rPr>
                <w:rFonts w:ascii="宋体" w:cs="宋体"/>
                <w:b/>
                <w:bCs/>
                <w:kern w:val="0"/>
                <w:sz w:val="32"/>
                <w:szCs w:val="32"/>
              </w:rPr>
            </w:pPr>
            <w:r>
              <w:rPr>
                <w:rFonts w:ascii="宋体" w:cs="宋体" w:hAnsi="宋体" w:hint="eastAsia"/>
                <w:b/>
                <w:bCs/>
                <w:kern w:val="0"/>
                <w:sz w:val="32"/>
                <w:szCs w:val="32"/>
              </w:rPr>
              <w:t>永清县县直部门固定资产占用情况表</w:t>
            </w:r>
          </w:p>
        </w:tc>
      </w:tr>
      <w:tr>
        <w:trPr>
          <w:trHeight w:val="510"/>
        </w:trPr>
        <w:tc>
          <w:tcPr>
            <w:tcW w:w="8379" w:type="dxa"/>
            <w:gridSpan w:val="2"/>
            <w:tcBorders>
              <w:top w:val="nil"/>
              <w:left w:val="nil"/>
              <w:bottom w:val="nil"/>
              <w:right w:val="nil"/>
            </w:tcBorders>
            <w:vAlign w:val="center"/>
          </w:tcPr>
          <w:p>
            <w:pPr>
              <w:widowControl/>
              <w:jc w:val="left"/>
              <w:rPr>
                <w:rFonts w:ascii="宋体" w:cs="宋体"/>
                <w:kern w:val="0"/>
                <w:sz w:val="22"/>
              </w:rPr>
            </w:pPr>
            <w:r>
              <w:rPr>
                <w:rFonts w:ascii="宋体" w:cs="宋体" w:hAnsi="宋体" w:hint="eastAsia"/>
                <w:kern w:val="0"/>
                <w:sz w:val="22"/>
              </w:rPr>
              <w:t>编制部门：</w:t>
            </w:r>
            <w:r>
              <w:rPr>
                <w:rFonts w:ascii="宋体" w:cs="宋体" w:hAnsi="宋体"/>
                <w:kern w:val="0"/>
                <w:sz w:val="22"/>
              </w:rPr>
              <w:t>222</w:t>
            </w:r>
            <w:r>
              <w:rPr>
                <w:rFonts w:ascii="宋体" w:cs="宋体" w:hAnsi="宋体" w:hint="eastAsia"/>
                <w:kern w:val="0"/>
                <w:sz w:val="22"/>
              </w:rPr>
              <w:t>中国共产党永清县纪律检查委员会永清县监察委员会</w:t>
            </w:r>
          </w:p>
        </w:tc>
        <w:tc>
          <w:tcPr>
            <w:tcW w:w="5103" w:type="dxa"/>
            <w:tcBorders>
              <w:top w:val="nil"/>
              <w:left w:val="nil"/>
              <w:bottom w:val="nil"/>
              <w:right w:val="nil"/>
            </w:tcBorders>
            <w:vAlign w:val="center"/>
          </w:tcPr>
          <w:p>
            <w:pPr>
              <w:widowControl/>
              <w:jc w:val="left"/>
              <w:rPr>
                <w:rFonts w:ascii="宋体" w:cs="宋体"/>
                <w:kern w:val="0"/>
                <w:sz w:val="22"/>
              </w:rPr>
            </w:pPr>
            <w:r>
              <w:rPr>
                <w:rFonts w:ascii="宋体" w:cs="宋体" w:hAnsi="宋体" w:hint="eastAsia"/>
                <w:kern w:val="0"/>
                <w:sz w:val="22"/>
              </w:rPr>
              <w:t>截止时间：</w:t>
            </w:r>
            <w:r>
              <w:rPr>
                <w:rFonts w:ascii="宋体" w:cs="宋体" w:hAnsi="宋体"/>
                <w:kern w:val="0"/>
                <w:sz w:val="22"/>
              </w:rPr>
              <w:t>2018</w:t>
            </w:r>
            <w:r>
              <w:rPr>
                <w:rFonts w:ascii="宋体" w:cs="宋体" w:hAnsi="宋体" w:hint="eastAsia"/>
                <w:kern w:val="0"/>
                <w:sz w:val="22"/>
              </w:rPr>
              <w:t>年</w:t>
            </w:r>
            <w:r>
              <w:rPr>
                <w:rFonts w:ascii="宋体" w:cs="宋体" w:hAnsi="宋体"/>
                <w:kern w:val="0"/>
                <w:sz w:val="22"/>
              </w:rPr>
              <w:t>12</w:t>
            </w:r>
            <w:r>
              <w:rPr>
                <w:rFonts w:ascii="宋体" w:cs="宋体" w:hAnsi="宋体" w:hint="eastAsia"/>
                <w:kern w:val="0"/>
                <w:sz w:val="22"/>
              </w:rPr>
              <w:t>月</w:t>
            </w:r>
            <w:r>
              <w:rPr>
                <w:rFonts w:ascii="宋体" w:cs="宋体" w:hAnsi="宋体"/>
                <w:kern w:val="0"/>
                <w:sz w:val="22"/>
              </w:rPr>
              <w:t>31</w:t>
            </w:r>
            <w:r>
              <w:rPr>
                <w:rFonts w:ascii="宋体" w:cs="宋体" w:hAnsi="宋体" w:hint="eastAsia"/>
                <w:kern w:val="0"/>
                <w:sz w:val="22"/>
              </w:rPr>
              <w:t>日</w:t>
            </w:r>
            <w:r>
              <w:rPr>
                <w:rFonts w:ascii="宋体" w:cs="宋体" w:hAnsi="宋体"/>
                <w:kern w:val="0"/>
                <w:sz w:val="22"/>
              </w:rPr>
              <w:t xml:space="preserve">  </w:t>
            </w:r>
          </w:p>
        </w:tc>
      </w:tr>
      <w:tr>
        <w:trPr>
          <w:trHeight w:val="645"/>
        </w:trPr>
        <w:tc>
          <w:tcPr>
            <w:tcW w:w="5224" w:type="dxa"/>
            <w:tcBorders>
              <w:top w:val="single" w:sz="4" w:space="0" w:color="auto"/>
              <w:left w:val="single" w:sz="4" w:space="0" w:color="auto"/>
              <w:bottom w:val="single" w:sz="4" w:space="0" w:color="auto"/>
              <w:right w:val="single" w:sz="4" w:space="0" w:color="auto"/>
            </w:tcBorders>
            <w:vAlign w:val="center"/>
          </w:tcPr>
          <w:p>
            <w:pPr>
              <w:widowControl/>
              <w:jc w:val="center"/>
              <w:rPr>
                <w:rFonts w:ascii="宋体" w:cs="宋体"/>
                <w:b/>
                <w:bCs/>
                <w:kern w:val="0"/>
                <w:sz w:val="22"/>
              </w:rPr>
            </w:pPr>
            <w:r>
              <w:rPr>
                <w:rFonts w:ascii="宋体" w:cs="宋体" w:hAnsi="宋体" w:hint="eastAsia"/>
                <w:b/>
                <w:bCs/>
                <w:kern w:val="0"/>
                <w:sz w:val="22"/>
              </w:rPr>
              <w:t>项</w:t>
            </w:r>
            <w:r>
              <w:rPr>
                <w:rFonts w:ascii="宋体" w:cs="宋体" w:hAnsi="宋体"/>
                <w:b/>
                <w:bCs/>
                <w:kern w:val="0"/>
                <w:sz w:val="22"/>
              </w:rPr>
              <w:t xml:space="preserve">   </w:t>
            </w:r>
            <w:r>
              <w:rPr>
                <w:rFonts w:ascii="宋体" w:cs="宋体" w:hAnsi="宋体" w:hint="eastAsia"/>
                <w:b/>
                <w:bCs/>
                <w:kern w:val="0"/>
                <w:sz w:val="22"/>
              </w:rPr>
              <w:t>目</w:t>
            </w:r>
          </w:p>
        </w:tc>
        <w:tc>
          <w:tcPr>
            <w:tcW w:w="3155" w:type="dxa"/>
            <w:tcBorders>
              <w:top w:val="single" w:sz="4" w:space="0" w:color="auto"/>
              <w:left w:val="nil"/>
              <w:bottom w:val="single" w:sz="4" w:space="0" w:color="auto"/>
              <w:right w:val="single" w:sz="4" w:space="0" w:color="auto"/>
            </w:tcBorders>
            <w:vAlign w:val="center"/>
          </w:tcPr>
          <w:p>
            <w:pPr>
              <w:widowControl/>
              <w:jc w:val="center"/>
              <w:rPr>
                <w:rFonts w:ascii="宋体" w:cs="宋体"/>
                <w:b/>
                <w:bCs/>
                <w:kern w:val="0"/>
                <w:sz w:val="22"/>
              </w:rPr>
            </w:pPr>
            <w:r>
              <w:rPr>
                <w:rFonts w:ascii="宋体" w:cs="宋体" w:hAnsi="宋体" w:hint="eastAsia"/>
                <w:b/>
                <w:bCs/>
                <w:kern w:val="0"/>
                <w:sz w:val="22"/>
              </w:rPr>
              <w:t>数量</w:t>
            </w:r>
          </w:p>
        </w:tc>
        <w:tc>
          <w:tcPr>
            <w:tcW w:w="5103" w:type="dxa"/>
            <w:tcBorders>
              <w:top w:val="single" w:sz="4" w:space="0" w:color="auto"/>
              <w:left w:val="nil"/>
              <w:bottom w:val="single" w:sz="4" w:space="0" w:color="auto"/>
              <w:right w:val="single" w:sz="4" w:space="0" w:color="auto"/>
            </w:tcBorders>
            <w:vAlign w:val="center"/>
          </w:tcPr>
          <w:p>
            <w:pPr>
              <w:widowControl/>
              <w:jc w:val="center"/>
              <w:rPr>
                <w:rFonts w:ascii="宋体" w:cs="宋体"/>
                <w:b/>
                <w:bCs/>
                <w:kern w:val="0"/>
                <w:sz w:val="22"/>
              </w:rPr>
            </w:pPr>
            <w:r>
              <w:rPr>
                <w:rFonts w:ascii="宋体" w:cs="宋体" w:hAnsi="宋体" w:hint="eastAsia"/>
                <w:b/>
                <w:bCs/>
                <w:kern w:val="0"/>
                <w:sz w:val="22"/>
              </w:rPr>
              <w:t>价值（金额单位：万元）</w:t>
            </w: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center"/>
              <w:rPr>
                <w:rFonts w:ascii="宋体" w:cs="宋体"/>
                <w:kern w:val="0"/>
                <w:sz w:val="22"/>
              </w:rPr>
            </w:pPr>
            <w:r>
              <w:rPr>
                <w:rFonts w:ascii="宋体" w:cs="宋体" w:hAnsi="宋体" w:hint="eastAsia"/>
                <w:kern w:val="0"/>
                <w:sz w:val="22"/>
              </w:rPr>
              <w:t>资产总额</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hAnsi="宋体"/>
                <w:kern w:val="0"/>
                <w:sz w:val="22"/>
              </w:rPr>
              <w:t>——</w:t>
            </w: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kern w:val="0"/>
                <w:sz w:val="22"/>
              </w:rPr>
              <w:t>293.08</w:t>
            </w: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left"/>
              <w:rPr>
                <w:rFonts w:ascii="宋体" w:cs="宋体"/>
                <w:kern w:val="0"/>
                <w:sz w:val="22"/>
              </w:rPr>
            </w:pPr>
            <w:r>
              <w:rPr>
                <w:rFonts w:ascii="宋体" w:cs="宋体" w:hAnsi="宋体"/>
                <w:kern w:val="0"/>
                <w:sz w:val="22"/>
              </w:rPr>
              <w:t>1</w:t>
            </w:r>
            <w:r>
              <w:rPr>
                <w:rFonts w:ascii="宋体" w:cs="宋体" w:hAnsi="宋体" w:hint="eastAsia"/>
                <w:kern w:val="0"/>
                <w:sz w:val="22"/>
              </w:rPr>
              <w:t>、房屋（平方米）</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left"/>
              <w:rPr>
                <w:rFonts w:ascii="宋体" w:cs="宋体"/>
                <w:kern w:val="0"/>
                <w:sz w:val="22"/>
              </w:rPr>
            </w:pPr>
            <w:r>
              <w:rPr>
                <w:rFonts w:ascii="宋体" w:cs="宋体" w:hAnsi="宋体"/>
                <w:kern w:val="0"/>
                <w:sz w:val="22"/>
              </w:rPr>
              <w:t xml:space="preserve">   </w:t>
            </w:r>
            <w:r>
              <w:rPr>
                <w:rFonts w:ascii="宋体" w:cs="宋体" w:hAnsi="宋体" w:hint="eastAsia"/>
                <w:kern w:val="0"/>
                <w:sz w:val="22"/>
              </w:rPr>
              <w:t>其中：办公用房（平方米）</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left"/>
              <w:rPr>
                <w:rFonts w:ascii="宋体" w:cs="宋体"/>
                <w:kern w:val="0"/>
                <w:sz w:val="22"/>
              </w:rPr>
            </w:pPr>
            <w:r>
              <w:rPr>
                <w:rFonts w:ascii="宋体" w:cs="宋体" w:hAnsi="宋体"/>
                <w:kern w:val="0"/>
                <w:sz w:val="22"/>
              </w:rPr>
              <w:t>2</w:t>
            </w:r>
            <w:r>
              <w:rPr>
                <w:rFonts w:ascii="宋体" w:cs="宋体" w:hAnsi="宋体" w:hint="eastAsia"/>
                <w:kern w:val="0"/>
                <w:sz w:val="22"/>
              </w:rPr>
              <w:t>、车辆（台、辆）</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kern w:val="0"/>
                <w:sz w:val="22"/>
              </w:rPr>
              <w:t>10</w:t>
            </w: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kern w:val="0"/>
                <w:sz w:val="22"/>
              </w:rPr>
              <w:t>144..15</w:t>
            </w: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left"/>
              <w:rPr>
                <w:rFonts w:ascii="宋体" w:cs="宋体"/>
                <w:kern w:val="0"/>
                <w:sz w:val="22"/>
              </w:rPr>
            </w:pPr>
            <w:r>
              <w:rPr>
                <w:rFonts w:ascii="宋体" w:cs="宋体" w:hAnsi="宋体"/>
                <w:kern w:val="0"/>
                <w:sz w:val="22"/>
              </w:rPr>
              <w:t>3</w:t>
            </w:r>
            <w:r>
              <w:rPr>
                <w:rFonts w:ascii="宋体" w:cs="宋体" w:hAnsi="宋体" w:hint="eastAsia"/>
                <w:kern w:val="0"/>
                <w:sz w:val="22"/>
              </w:rPr>
              <w:t>、单价在</w:t>
            </w:r>
            <w:r>
              <w:rPr>
                <w:rFonts w:ascii="宋体" w:cs="宋体" w:hAnsi="宋体"/>
                <w:kern w:val="0"/>
                <w:sz w:val="22"/>
              </w:rPr>
              <w:t>20</w:t>
            </w:r>
            <w:r>
              <w:rPr>
                <w:rFonts w:ascii="宋体" w:cs="宋体" w:hAnsi="宋体" w:hint="eastAsia"/>
                <w:kern w:val="0"/>
                <w:sz w:val="22"/>
              </w:rPr>
              <w:t>万元以上的设备</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hAnsi="宋体"/>
                <w:kern w:val="0"/>
                <w:sz w:val="22"/>
              </w:rPr>
              <w:t>——</w:t>
            </w: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p>
        </w:tc>
      </w:tr>
      <w:tr>
        <w:trPr>
          <w:trHeight w:val="645"/>
        </w:trPr>
        <w:tc>
          <w:tcPr>
            <w:tcW w:w="5224" w:type="dxa"/>
            <w:tcBorders>
              <w:top w:val="nil"/>
              <w:left w:val="single" w:sz="4" w:space="0" w:color="auto"/>
              <w:bottom w:val="single" w:sz="4" w:space="0" w:color="auto"/>
              <w:right w:val="single" w:sz="4" w:space="0" w:color="auto"/>
            </w:tcBorders>
            <w:vAlign w:val="center"/>
          </w:tcPr>
          <w:p>
            <w:pPr>
              <w:widowControl/>
              <w:jc w:val="left"/>
              <w:rPr>
                <w:rFonts w:ascii="宋体" w:cs="宋体"/>
                <w:kern w:val="0"/>
                <w:sz w:val="22"/>
              </w:rPr>
            </w:pPr>
            <w:r>
              <w:rPr>
                <w:rFonts w:ascii="宋体" w:cs="宋体" w:hAnsi="宋体"/>
                <w:kern w:val="0"/>
                <w:sz w:val="22"/>
              </w:rPr>
              <w:t>4</w:t>
            </w:r>
            <w:r>
              <w:rPr>
                <w:rFonts w:ascii="宋体" w:cs="宋体" w:hAnsi="宋体" w:hint="eastAsia"/>
                <w:kern w:val="0"/>
                <w:sz w:val="22"/>
              </w:rPr>
              <w:t>、其他固定资产</w:t>
            </w:r>
          </w:p>
        </w:tc>
        <w:tc>
          <w:tcPr>
            <w:tcW w:w="3155"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hAnsi="宋体"/>
                <w:kern w:val="0"/>
                <w:sz w:val="22"/>
              </w:rPr>
              <w:t>——</w:t>
            </w:r>
          </w:p>
        </w:tc>
        <w:tc>
          <w:tcPr>
            <w:tcW w:w="5103" w:type="dxa"/>
            <w:tcBorders>
              <w:top w:val="nil"/>
              <w:left w:val="nil"/>
              <w:bottom w:val="single" w:sz="4" w:space="0" w:color="auto"/>
              <w:right w:val="single" w:sz="4" w:space="0" w:color="auto"/>
            </w:tcBorders>
            <w:vAlign w:val="center"/>
          </w:tcPr>
          <w:p>
            <w:pPr>
              <w:widowControl/>
              <w:jc w:val="center"/>
              <w:rPr>
                <w:rFonts w:ascii="宋体" w:cs="宋体"/>
                <w:kern w:val="0"/>
                <w:sz w:val="22"/>
              </w:rPr>
            </w:pPr>
            <w:r>
              <w:rPr>
                <w:rFonts w:ascii="宋体" w:cs="宋体"/>
                <w:kern w:val="0"/>
                <w:sz w:val="22"/>
              </w:rPr>
              <w:t>148.93</w:t>
            </w:r>
          </w:p>
        </w:tc>
      </w:tr>
    </w:tbl>
    <w:p>
      <w:pPr>
        <w:autoSpaceDE w:val="0"/>
        <w:autoSpaceDN w:val="0"/>
        <w:adjustRightInd w:val="0"/>
        <w:ind w:left="198" w:firstLineChars="200" w:firstLine="640"/>
        <w:jc w:val="left"/>
        <w:rPr>
          <w:rFonts w:ascii="黑体" w:eastAsia="黑体" w:hAnsi="黑体"/>
          <w:sz w:val="32"/>
          <w:szCs w:val="32"/>
        </w:rPr>
      </w:pPr>
      <w:r>
        <w:rPr>
          <w:rFonts w:ascii="黑体" w:eastAsia="黑体" w:hAnsi="黑体" w:hint="eastAsia"/>
          <w:sz w:val="32"/>
          <w:szCs w:val="32"/>
        </w:rPr>
        <w:t>八、名词解释</w:t>
      </w:r>
    </w:p>
    <w:p>
      <w:pPr>
        <w:pStyle w:val="19"/>
        <w:ind w:firstLineChars="200" w:firstLine="640"/>
        <w:rPr>
          <w:rFonts w:ascii="仿宋_GB2312" w:eastAsia="仿宋_GB2312"/>
          <w:b/>
          <w:bCs/>
          <w:sz w:val="32"/>
          <w:szCs w:val="32"/>
        </w:rPr>
      </w:pPr>
      <w:r>
        <w:rPr>
          <w:rFonts w:ascii="楷体_GB2312" w:eastAsia="楷体_GB2312" w:hAnsi="Calibri"/>
          <w:b/>
          <w:color w:val="auto"/>
          <w:kern w:val="2"/>
          <w:sz w:val="32"/>
          <w:szCs w:val="32"/>
        </w:rPr>
        <w:t>1</w:t>
      </w:r>
      <w:r>
        <w:rPr>
          <w:rFonts w:ascii="楷体_GB2312" w:eastAsia="楷体_GB2312" w:hAnsi="Calibri" w:hint="eastAsia"/>
          <w:b/>
          <w:color w:val="auto"/>
          <w:kern w:val="2"/>
          <w:sz w:val="32"/>
          <w:szCs w:val="32"/>
        </w:rPr>
        <w:t>、一般公共预算拨款收入：</w:t>
      </w:r>
      <w:r>
        <w:rPr>
          <w:rFonts w:ascii="仿宋_GB2312" w:eastAsia="仿宋_GB2312" w:cs="FZFangSong-Z02" w:hAnsi="FZFangSong-Z02" w:hint="eastAsia"/>
          <w:sz w:val="32"/>
          <w:szCs w:val="32"/>
        </w:rPr>
        <w:t>指</w:t>
      </w:r>
      <w:r>
        <w:rPr>
          <w:rFonts w:ascii="仿宋_GB2312" w:eastAsia="仿宋_GB2312" w:cs="FZFangSong-Z02" w:hAnsi="FZFangSong-Z02" w:hint="eastAsia"/>
          <w:sz w:val="32"/>
          <w:szCs w:val="32"/>
          <w:lang w:eastAsia="zh-CN"/>
        </w:rPr>
        <w:t>县</w:t>
      </w:r>
      <w:r>
        <w:rPr>
          <w:rFonts w:ascii="仿宋_GB2312" w:eastAsia="仿宋_GB2312" w:cs="FZFangSong-Z02" w:hAnsi="FZFangSong-Z02" w:hint="eastAsia"/>
          <w:sz w:val="32"/>
          <w:szCs w:val="32"/>
        </w:rPr>
        <w:t>级财政当年拨付的资金。</w:t>
      </w:r>
    </w:p>
    <w:p>
      <w:pPr>
        <w:pStyle w:val="19"/>
        <w:rPr>
          <w:rFonts w:ascii="仿宋_GB2312" w:eastAsia="仿宋_GB2312" w:cs="FZFangSong-Z02" w:hAnsi="FZFangSong-Z02"/>
          <w:sz w:val="32"/>
          <w:szCs w:val="32"/>
        </w:rPr>
      </w:pPr>
      <w:r>
        <w:rPr>
          <w:rFonts w:ascii="仿宋_GB2312" w:eastAsia="仿宋_GB2312"/>
          <w:b/>
          <w:bCs/>
          <w:sz w:val="32"/>
          <w:szCs w:val="32"/>
        </w:rPr>
        <w:t xml:space="preserve">   </w:t>
      </w:r>
      <w:r>
        <w:rPr>
          <w:rFonts w:ascii="楷体_GB2312" w:eastAsia="楷体_GB2312" w:hAnsi="Calibri"/>
          <w:b/>
          <w:color w:val="auto"/>
          <w:kern w:val="2"/>
          <w:sz w:val="32"/>
          <w:szCs w:val="32"/>
        </w:rPr>
        <w:t xml:space="preserve"> 2</w:t>
      </w:r>
      <w:r>
        <w:rPr>
          <w:rFonts w:ascii="楷体_GB2312" w:eastAsia="楷体_GB2312" w:hAnsi="Calibri" w:hint="eastAsia"/>
          <w:b/>
          <w:color w:val="auto"/>
          <w:kern w:val="2"/>
          <w:sz w:val="32"/>
          <w:szCs w:val="32"/>
        </w:rPr>
        <w:t>、事业收入：</w:t>
      </w:r>
      <w:r>
        <w:rPr>
          <w:rFonts w:ascii="仿宋_GB2312" w:eastAsia="仿宋_GB2312" w:cs="FZFangSong-Z02" w:hAnsi="FZFangSong-Z02" w:hint="eastAsia"/>
          <w:sz w:val="32"/>
          <w:szCs w:val="32"/>
        </w:rPr>
        <w:t>指事业单位开展专业业务活动及辅助活动所取得的收入。</w:t>
      </w:r>
    </w:p>
    <w:p>
      <w:pPr>
        <w:pStyle w:val="19"/>
        <w:rPr>
          <w:rFonts w:ascii="仿宋_GB2312" w:eastAsia="仿宋_GB2312" w:cs="FZFangSong-Z02" w:hAnsi="FZFangSong-Z02"/>
          <w:sz w:val="32"/>
          <w:szCs w:val="32"/>
        </w:rPr>
      </w:pPr>
      <w:r>
        <w:rPr>
          <w:rFonts w:ascii="仿宋_GB2312" w:eastAsia="仿宋_GB2312"/>
          <w:b/>
          <w:bCs/>
          <w:sz w:val="32"/>
          <w:szCs w:val="32"/>
        </w:rPr>
        <w:t xml:space="preserve">   </w:t>
      </w:r>
      <w:r>
        <w:rPr>
          <w:rFonts w:ascii="仿宋_GB2312" w:eastAsia="仿宋_GB2312" w:hAnsi="Calibri"/>
          <w:b/>
          <w:color w:val="auto"/>
          <w:kern w:val="2"/>
          <w:sz w:val="32"/>
          <w:szCs w:val="32"/>
        </w:rPr>
        <w:t xml:space="preserve"> </w:t>
      </w:r>
      <w:r>
        <w:rPr>
          <w:rFonts w:ascii="楷体_GB2312" w:eastAsia="楷体_GB2312" w:hAnsi="Calibri"/>
          <w:b/>
          <w:color w:val="auto"/>
          <w:kern w:val="2"/>
          <w:sz w:val="32"/>
          <w:szCs w:val="32"/>
        </w:rPr>
        <w:t>3</w:t>
      </w:r>
      <w:r>
        <w:rPr>
          <w:rFonts w:ascii="楷体_GB2312" w:eastAsia="楷体_GB2312" w:hAnsi="Calibri" w:hint="eastAsia"/>
          <w:b/>
          <w:color w:val="auto"/>
          <w:kern w:val="2"/>
          <w:sz w:val="32"/>
          <w:szCs w:val="32"/>
        </w:rPr>
        <w:t>、其他收入：</w:t>
      </w:r>
      <w:r>
        <w:rPr>
          <w:rFonts w:ascii="仿宋_GB2312" w:eastAsia="仿宋_GB2312" w:cs="FZFangSong-Z02" w:hAnsi="FZFangSong-Z02" w:hint="eastAsia"/>
          <w:sz w:val="32"/>
          <w:szCs w:val="32"/>
        </w:rPr>
        <w:t>指除上述</w:t>
      </w:r>
      <w:r>
        <w:rPr>
          <w:rFonts w:ascii="仿宋_GB2312" w:eastAsia="仿宋_GB2312" w:hint="eastAsia"/>
          <w:sz w:val="32"/>
          <w:szCs w:val="32"/>
        </w:rPr>
        <w:t>“</w:t>
      </w:r>
      <w:r>
        <w:rPr>
          <w:rFonts w:ascii="仿宋_GB2312" w:eastAsia="仿宋_GB2312" w:cs="FZFangSong-Z02" w:hAnsi="FZFangSong-Z02" w:hint="eastAsia"/>
          <w:sz w:val="32"/>
          <w:szCs w:val="32"/>
        </w:rPr>
        <w:t>财政拨款收入</w:t>
      </w:r>
      <w:r>
        <w:rPr>
          <w:rFonts w:ascii="仿宋_GB2312" w:eastAsia="仿宋_GB2312" w:hint="eastAsia"/>
          <w:sz w:val="32"/>
          <w:szCs w:val="32"/>
        </w:rPr>
        <w:t>”</w:t>
      </w:r>
      <w:r>
        <w:rPr>
          <w:rFonts w:ascii="仿宋_GB2312" w:eastAsia="仿宋_GB2312" w:cs="FZFangSong-Z02" w:hAnsi="FZFangSong-Z02" w:hint="eastAsia"/>
          <w:sz w:val="32"/>
          <w:szCs w:val="32"/>
        </w:rPr>
        <w:t>、</w:t>
      </w:r>
      <w:r>
        <w:rPr>
          <w:rFonts w:ascii="仿宋_GB2312" w:eastAsia="仿宋_GB2312" w:hint="eastAsia"/>
          <w:sz w:val="32"/>
          <w:szCs w:val="32"/>
        </w:rPr>
        <w:t>“</w:t>
      </w:r>
      <w:r>
        <w:rPr>
          <w:rFonts w:ascii="仿宋_GB2312" w:eastAsia="仿宋_GB2312" w:cs="FZFangSong-Z02" w:hAnsi="FZFangSong-Z02" w:hint="eastAsia"/>
          <w:sz w:val="32"/>
          <w:szCs w:val="32"/>
        </w:rPr>
        <w:t>事业收入</w:t>
      </w:r>
      <w:r>
        <w:rPr>
          <w:rFonts w:ascii="仿宋_GB2312" w:eastAsia="仿宋_GB2312" w:hint="eastAsia"/>
          <w:sz w:val="32"/>
          <w:szCs w:val="32"/>
        </w:rPr>
        <w:t>”</w:t>
      </w:r>
      <w:r>
        <w:rPr>
          <w:rFonts w:ascii="仿宋_GB2312" w:eastAsia="仿宋_GB2312" w:cs="FZFangSong-Z02" w:hAnsi="FZFangSong-Z02" w:hint="eastAsia"/>
          <w:sz w:val="32"/>
          <w:szCs w:val="32"/>
        </w:rPr>
        <w:t>等以外的收入。主要是按规定动用的租房收入、存款利息收入等。</w:t>
      </w:r>
    </w:p>
    <w:p>
      <w:pPr>
        <w:pStyle w:val="19"/>
        <w:rPr>
          <w:rFonts w:ascii="仿宋_GB2312" w:eastAsia="仿宋_GB2312" w:cs="FZFangSong-Z02" w:hAnsi="FZFangSong-Z02"/>
          <w:sz w:val="32"/>
          <w:szCs w:val="32"/>
        </w:rPr>
      </w:pPr>
      <w:r>
        <w:rPr>
          <w:rFonts w:ascii="仿宋_GB2312" w:eastAsia="仿宋_GB2312"/>
          <w:b/>
          <w:bCs/>
          <w:sz w:val="32"/>
          <w:szCs w:val="32"/>
        </w:rPr>
        <w:t xml:space="preserve">   </w:t>
      </w:r>
      <w:r>
        <w:rPr>
          <w:rFonts w:ascii="仿宋_GB2312" w:eastAsia="仿宋_GB2312" w:hAnsi="Calibri"/>
          <w:b/>
          <w:color w:val="auto"/>
          <w:kern w:val="2"/>
          <w:sz w:val="32"/>
          <w:szCs w:val="32"/>
        </w:rPr>
        <w:t xml:space="preserve"> </w:t>
      </w:r>
      <w:r>
        <w:rPr>
          <w:rFonts w:ascii="楷体_GB2312" w:eastAsia="楷体_GB2312" w:hAnsi="Calibri"/>
          <w:b/>
          <w:color w:val="auto"/>
          <w:kern w:val="2"/>
          <w:sz w:val="32"/>
          <w:szCs w:val="32"/>
        </w:rPr>
        <w:t>4</w:t>
      </w:r>
      <w:r>
        <w:rPr>
          <w:rFonts w:ascii="楷体_GB2312" w:eastAsia="楷体_GB2312" w:hAnsi="Calibri" w:hint="eastAsia"/>
          <w:b/>
          <w:color w:val="auto"/>
          <w:kern w:val="2"/>
          <w:sz w:val="32"/>
          <w:szCs w:val="32"/>
        </w:rPr>
        <w:t>、基本支出：</w:t>
      </w:r>
      <w:r>
        <w:rPr>
          <w:rFonts w:ascii="仿宋_GB2312" w:eastAsia="仿宋_GB2312" w:hint="eastAsia"/>
          <w:sz w:val="32"/>
          <w:szCs w:val="32"/>
        </w:rPr>
        <w:t>指为保障机构正常运转、完成日常工作任务而发生的人员支出和公用支出。</w:t>
      </w:r>
    </w:p>
    <w:p>
      <w:pPr>
        <w:rPr>
          <w:rFonts w:ascii="仿宋_GB2312" w:eastAsia="仿宋_GB2312"/>
          <w:sz w:val="32"/>
          <w:szCs w:val="32"/>
        </w:rPr>
      </w:pPr>
      <w:r>
        <w:rPr>
          <w:rFonts w:ascii="仿宋_GB2312" w:eastAsia="仿宋_GB2312"/>
          <w:b/>
          <w:bCs/>
          <w:sz w:val="32"/>
          <w:szCs w:val="32"/>
        </w:rPr>
        <w:t xml:space="preserve">   </w:t>
      </w:r>
      <w:r>
        <w:rPr>
          <w:rFonts w:ascii="楷体_GB2312" w:eastAsia="楷体_GB2312" w:hAnsi="Times New Roman"/>
          <w:bCs/>
          <w:color w:val="000000"/>
          <w:kern w:val="0"/>
          <w:sz w:val="32"/>
          <w:szCs w:val="32"/>
        </w:rPr>
        <w:t xml:space="preserve"> </w:t>
      </w:r>
      <w:r>
        <w:rPr>
          <w:rFonts w:ascii="楷体_GB2312" w:eastAsia="楷体_GB2312"/>
          <w:b/>
          <w:sz w:val="32"/>
          <w:szCs w:val="32"/>
        </w:rPr>
        <w:t>5</w:t>
      </w:r>
      <w:r>
        <w:rPr>
          <w:rFonts w:ascii="楷体_GB2312" w:eastAsia="楷体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pPr>
        <w:pStyle w:val="19"/>
        <w:rPr>
          <w:rFonts w:ascii="仿宋_GB2312" w:eastAsia="仿宋_GB2312"/>
          <w:sz w:val="32"/>
          <w:szCs w:val="32"/>
        </w:rPr>
      </w:pPr>
      <w:r>
        <w:rPr>
          <w:rFonts w:ascii="仿宋_GB2312" w:eastAsia="仿宋_GB2312"/>
          <w:b/>
          <w:bCs/>
          <w:sz w:val="32"/>
          <w:szCs w:val="32"/>
        </w:rPr>
        <w:t xml:space="preserve">  </w:t>
      </w:r>
      <w:r>
        <w:rPr>
          <w:rFonts w:ascii="仿宋_GB2312" w:eastAsia="仿宋_GB2312"/>
          <w:bCs/>
          <w:sz w:val="32"/>
          <w:szCs w:val="32"/>
        </w:rPr>
        <w:t xml:space="preserve"> </w:t>
      </w:r>
      <w:r>
        <w:rPr>
          <w:rFonts w:ascii="楷体_GB2312" w:eastAsia="楷体_GB2312" w:hAnsi="Calibri"/>
          <w:b/>
          <w:color w:val="auto"/>
          <w:kern w:val="2"/>
          <w:sz w:val="32"/>
          <w:szCs w:val="32"/>
        </w:rPr>
        <w:t xml:space="preserve"> 6</w:t>
      </w:r>
      <w:r>
        <w:rPr>
          <w:rFonts w:ascii="楷体_GB2312" w:eastAsia="楷体_GB2312" w:hAnsi="Calibri" w:hint="eastAsia"/>
          <w:b/>
          <w:color w:val="auto"/>
          <w:kern w:val="2"/>
          <w:sz w:val="32"/>
          <w:szCs w:val="32"/>
        </w:rPr>
        <w:t>、上缴上级支出：</w:t>
      </w:r>
      <w:r>
        <w:rPr>
          <w:rFonts w:ascii="仿宋_GB2312" w:eastAsia="仿宋_GB2312" w:hint="eastAsia"/>
          <w:sz w:val="32"/>
          <w:szCs w:val="32"/>
        </w:rPr>
        <w:t>指下级单位上缴上级的支出。</w:t>
      </w:r>
    </w:p>
    <w:p>
      <w:pPr>
        <w:pStyle w:val="19"/>
        <w:rPr>
          <w:rFonts w:ascii="仿宋_GB2312" w:eastAsia="仿宋_GB2312" w:cs="FZFangSong-Z02" w:hAnsi="FZFangSong-Z02"/>
          <w:sz w:val="32"/>
          <w:szCs w:val="32"/>
        </w:rPr>
      </w:pPr>
      <w:r>
        <w:rPr>
          <w:rFonts w:ascii="仿宋_GB2312" w:eastAsia="仿宋_GB2312"/>
          <w:b/>
          <w:bCs/>
          <w:sz w:val="32"/>
          <w:szCs w:val="32"/>
        </w:rPr>
        <w:t xml:space="preserve">   </w:t>
      </w:r>
      <w:r>
        <w:rPr>
          <w:rFonts w:ascii="楷体_GB2312" w:eastAsia="楷体_GB2312" w:hAnsi="Calibri"/>
          <w:b/>
          <w:color w:val="auto"/>
          <w:kern w:val="2"/>
          <w:sz w:val="32"/>
          <w:szCs w:val="32"/>
        </w:rPr>
        <w:t xml:space="preserve"> 7</w:t>
      </w:r>
      <w:r>
        <w:rPr>
          <w:rFonts w:ascii="楷体_GB2312" w:eastAsia="楷体_GB2312" w:hAnsi="Calibri" w:hint="eastAsia"/>
          <w:b/>
          <w:color w:val="auto"/>
          <w:kern w:val="2"/>
          <w:sz w:val="32"/>
          <w:szCs w:val="32"/>
        </w:rPr>
        <w:t>、“三公”经费：</w:t>
      </w:r>
      <w:r>
        <w:rPr>
          <w:rFonts w:ascii="仿宋_GB2312" w:eastAsia="仿宋_GB2312" w:cs="FZFangSong-Z02" w:hAnsi="FZFangSong-Z02" w:hint="eastAsia"/>
          <w:sz w:val="32"/>
          <w:szCs w:val="32"/>
        </w:rPr>
        <w:t>纳入</w:t>
      </w:r>
      <w:r>
        <w:rPr>
          <w:rFonts w:ascii="仿宋_GB2312" w:eastAsia="仿宋_GB2312" w:cs="FZFangSong-Z02" w:hAnsi="FZFangSong-Z02" w:hint="eastAsia"/>
          <w:sz w:val="32"/>
          <w:szCs w:val="32"/>
          <w:lang w:eastAsia="zh-CN"/>
        </w:rPr>
        <w:t>县</w:t>
      </w:r>
      <w:r>
        <w:rPr>
          <w:rFonts w:ascii="仿宋_GB2312" w:eastAsia="仿宋_GB2312" w:cs="FZFangSong-Z02" w:hAnsi="FZFangSong-Z02" w:hint="eastAsia"/>
          <w:sz w:val="32"/>
          <w:szCs w:val="32"/>
        </w:rPr>
        <w:t>级财政预算管理的</w:t>
      </w:r>
      <w:r>
        <w:rPr>
          <w:rFonts w:ascii="仿宋_GB2312" w:eastAsia="仿宋_GB2312" w:hint="eastAsia"/>
          <w:sz w:val="32"/>
          <w:szCs w:val="32"/>
        </w:rPr>
        <w:t>“</w:t>
      </w:r>
      <w:r>
        <w:rPr>
          <w:rFonts w:ascii="仿宋_GB2312" w:eastAsia="仿宋_GB2312" w:cs="FZFangSong-Z02" w:hAnsi="FZFangSong-Z02" w:hint="eastAsia"/>
          <w:sz w:val="32"/>
          <w:szCs w:val="32"/>
        </w:rPr>
        <w:t>三公</w:t>
      </w:r>
      <w:r>
        <w:rPr>
          <w:rFonts w:ascii="仿宋_GB2312" w:eastAsia="仿宋_GB2312" w:hint="eastAsia"/>
          <w:sz w:val="32"/>
          <w:szCs w:val="32"/>
        </w:rPr>
        <w:t>”</w:t>
      </w:r>
      <w:r>
        <w:rPr>
          <w:rFonts w:ascii="仿宋_GB2312" w:eastAsia="仿宋_GB2312" w:cs="FZFangSong-Z02" w:hAnsi="FZFangSong-Z02" w:hint="eastAsia"/>
          <w:sz w:val="32"/>
          <w:szCs w:val="32"/>
        </w:rPr>
        <w:t>经费，是指</w:t>
      </w:r>
      <w:r>
        <w:rPr>
          <w:rFonts w:ascii="仿宋_GB2312" w:eastAsia="仿宋_GB2312" w:cs="FZFangSong-Z02" w:hAnsi="FZFangSong-Z02" w:hint="eastAsia"/>
          <w:sz w:val="32"/>
          <w:szCs w:val="32"/>
          <w:lang w:eastAsia="zh-CN"/>
        </w:rPr>
        <w:t>县</w:t>
      </w:r>
      <w:r>
        <w:rPr>
          <w:rFonts w:ascii="仿宋_GB2312" w:eastAsia="仿宋_GB2312" w:cs="FZFangSong-Z02" w:hAnsi="FZFangSong-Z02" w:hint="eastAsia"/>
          <w:sz w:val="32"/>
          <w:szCs w:val="32"/>
        </w:rPr>
        <w:t>级部门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ind w:firstLine="660"/>
        <w:rPr>
          <w:rFonts w:ascii="仿宋_GB2312" w:eastAsia="仿宋_GB2312"/>
          <w:sz w:val="32"/>
          <w:szCs w:val="32"/>
        </w:rPr>
      </w:pPr>
      <w:r>
        <w:rPr>
          <w:rFonts w:ascii="楷体_GB2312" w:eastAsia="楷体_GB2312"/>
          <w:b/>
          <w:sz w:val="32"/>
          <w:szCs w:val="32"/>
        </w:rPr>
        <w:t>8</w:t>
      </w:r>
      <w:r>
        <w:rPr>
          <w:rFonts w:ascii="楷体_GB2312" w:eastAsia="楷体_GB2312" w:hint="eastAsia"/>
          <w:b/>
          <w:sz w:val="32"/>
          <w:szCs w:val="32"/>
        </w:rPr>
        <w:t>、机关运行费</w:t>
      </w:r>
      <w:r>
        <w:rPr>
          <w:rFonts w:ascii="楷体_GB2312" w:eastAsia="楷体_GB2312" w:cs="FZFangSong-Z02" w:hAnsi="FZFangSong-Z02" w:hint="eastAsia"/>
          <w:sz w:val="32"/>
          <w:szCs w:val="32"/>
        </w:rPr>
        <w:t>：</w:t>
      </w:r>
      <w:r>
        <w:rPr>
          <w:rFonts w:ascii="仿宋_GB2312" w:eastAsia="仿宋_GB2312" w:cs="FZFangSong-Z02" w:hAnsi="FZFangSong-Z02" w:hint="eastAsia"/>
          <w:sz w:val="32"/>
          <w:szCs w:val="32"/>
        </w:rPr>
        <w:t>为保障行政单位（包括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w:t>
      </w:r>
      <w:r>
        <w:rPr>
          <w:rFonts w:ascii="仿宋_GB2312" w:eastAsia="仿宋_GB2312" w:hint="eastAsia"/>
          <w:sz w:val="32"/>
          <w:szCs w:val="32"/>
        </w:rPr>
        <w:t>其他费用。</w:t>
      </w:r>
    </w:p>
    <w:p>
      <w:pPr>
        <w:tabs>
          <w:tab w:val="left" w:pos="11490"/>
        </w:tabs>
        <w:ind w:firstLineChars="200" w:firstLine="640"/>
        <w:rPr>
          <w:rFonts w:ascii="仿宋_GB2312" w:eastAsia="仿宋_GB2312"/>
          <w:sz w:val="32"/>
          <w:szCs w:val="32"/>
        </w:rPr>
      </w:pPr>
      <w:r>
        <w:rPr>
          <w:rFonts w:ascii="楷体_GB2312" w:eastAsia="楷体_GB2312"/>
          <w:b/>
          <w:sz w:val="32"/>
          <w:szCs w:val="32"/>
        </w:rPr>
        <w:t>9</w:t>
      </w:r>
      <w:r>
        <w:rPr>
          <w:rFonts w:ascii="楷体_GB2312" w:eastAsia="楷体_GB2312" w:hint="eastAsia"/>
          <w:b/>
          <w:sz w:val="32"/>
          <w:szCs w:val="32"/>
        </w:rPr>
        <w:t>、上年结转：</w:t>
      </w:r>
      <w:r>
        <w:rPr>
          <w:rFonts w:ascii="仿宋_GB2312" w:eastAsia="仿宋_GB2312" w:hint="eastAsia"/>
          <w:sz w:val="32"/>
          <w:szCs w:val="32"/>
        </w:rPr>
        <w:t>指以前年度尚未完成、结转到本年仍按原规定用途继续使用的资金。</w:t>
      </w:r>
    </w:p>
    <w:p>
      <w:pPr>
        <w:ind w:firstLine="660"/>
        <w:rPr>
          <w:rFonts w:ascii="仿宋_GB2312" w:eastAsia="仿宋_GB2312" w:cs="FZFangSong-Z02" w:hAnsi="FZFangSong-Z02"/>
          <w:sz w:val="32"/>
          <w:szCs w:val="32"/>
        </w:rPr>
      </w:pPr>
      <w:r>
        <w:rPr>
          <w:rFonts w:ascii="楷体_GB2312" w:eastAsia="楷体_GB2312"/>
          <w:b/>
          <w:sz w:val="32"/>
          <w:szCs w:val="32"/>
        </w:rPr>
        <w:t>10</w:t>
      </w:r>
      <w:r>
        <w:rPr>
          <w:rFonts w:ascii="楷体_GB2312" w:eastAsia="楷体_GB2312" w:hint="eastAsia"/>
          <w:b/>
          <w:sz w:val="32"/>
          <w:szCs w:val="32"/>
        </w:rPr>
        <w:t>、事业单位经营支出：</w:t>
      </w:r>
      <w:r>
        <w:rPr>
          <w:rFonts w:ascii="仿宋_GB2312" w:eastAsia="仿宋_GB2312" w:hint="eastAsia"/>
          <w:sz w:val="32"/>
          <w:szCs w:val="32"/>
        </w:rPr>
        <w:t>指事业单位在专业业务活动及其辅助活动之外开展非独立核算经营活动发生的支出</w:t>
      </w:r>
    </w:p>
    <w:p>
      <w:pPr>
        <w:tabs>
          <w:tab w:val="left" w:pos="11490"/>
        </w:tabs>
        <w:ind w:firstLineChars="200" w:firstLine="640"/>
        <w:rPr>
          <w:rFonts w:ascii="黑体" w:eastAsia="黑体" w:hAnsi="黑体"/>
          <w:sz w:val="32"/>
          <w:szCs w:val="32"/>
        </w:rPr>
      </w:pPr>
      <w:r>
        <w:rPr>
          <w:rFonts w:ascii="黑体" w:eastAsia="黑体" w:hAnsi="黑体" w:hint="eastAsia"/>
          <w:sz w:val="32"/>
          <w:szCs w:val="32"/>
        </w:rPr>
        <w:t>九、其它需要说明的事项</w:t>
      </w:r>
    </w:p>
    <w:p>
      <w:pPr>
        <w:tabs>
          <w:tab w:val="left" w:pos="11490"/>
        </w:tabs>
        <w:ind w:firstLineChars="200" w:firstLine="640"/>
        <w:rPr>
          <w:rFonts w:ascii="仿宋_GB2312" w:eastAsia="仿宋_GB2312" w:cs="FZFangSong-Z02" w:hAnsi="FZFangSong-Z02"/>
          <w:sz w:val="32"/>
          <w:szCs w:val="32"/>
        </w:rPr>
      </w:pPr>
      <w:r>
        <w:rPr>
          <w:rFonts w:ascii="仿宋_GB2312" w:eastAsia="仿宋_GB2312" w:cs="FZFangSong-Z02" w:hAnsi="FZFangSong-Z02" w:hint="eastAsia"/>
          <w:sz w:val="32"/>
          <w:szCs w:val="32"/>
        </w:rPr>
        <w:t>我部门无其它需要说明的事项。</w:t>
      </w:r>
    </w:p>
    <w:sectPr>
      <w:headerReference w:type="default" r:id="rId2"/>
      <w:pgSz w:w="16838" w:h="11906" w:orient="landscape"/>
      <w:pgMar w:top="1800" w:right="1440" w:bottom="1800" w:left="1440" w:header="851" w:footer="992" w:gutter="0"/>
      <w:cols w:num="1" w:space="720"/>
      <w:docGrid w:type="lines" w:linePitch="312" w:charSpace="0"/>
    </w:sectPr>
  </w:body>
</w:document>
</file>

<file path=word/fontTable.xml><?xml version="1.0" encoding="utf-8"?>
<w:fonts xmlns:w="http://schemas.openxmlformats.org/wordprocessingml/2006/main" xmlns:r="http://schemas.openxmlformats.org/officeDocument/2006/relationships">
  <w:font w:name="方正小标宋简体">
    <w:altName w:val="黑体"/>
    <w:panose1 w:val="03000509000000000000"/>
    <w:charset w:val="86"/>
    <w:family w:val="auto"/>
    <w:pitch w:val="variable"/>
    <w:sig w:usb0="00000000" w:usb1="00000000" w:usb2="00000010" w:usb3="00000000" w:csb0="00040000" w:csb1="00000000"/>
  </w:font>
  <w:font w:name="宋体">
    <w:altName w:val="华文中宋"/>
    <w:panose1 w:val="02010600030101010101"/>
    <w:charset w:val="86"/>
    <w:family w:val="auto"/>
    <w:pitch w:val="variable"/>
    <w:sig w:usb0="00000003" w:usb1="288F0000" w:usb2="00000006" w:usb3="00000000" w:csb0="00040001" w:csb1="00000000"/>
  </w:font>
  <w:font w:name="仿宋_GB2312">
    <w:altName w:val="方正仿宋_GBK"/>
    <w:panose1 w:val="02010609030101010101"/>
    <w:charset w:val="86"/>
    <w:family w:val="auto"/>
    <w:pitch w:val="variable"/>
    <w:sig w:usb0="00000001" w:usb1="080E0000" w:usb2="00000000" w:usb3="00000000" w:csb0="00040000" w:csb1="00000000"/>
  </w:font>
  <w:font w:name="黑体">
    <w:altName w:val="方正黑体_GBK"/>
    <w:panose1 w:val="02010600030101010101"/>
    <w:charset w:val="86"/>
    <w:family w:val="auto"/>
    <w:pitch w:val="variable"/>
    <w:sig w:usb0="800002BF" w:usb1="38CF7CFA" w:usb2="00000016" w:usb3="00000000" w:csb0="00040001" w:csb1="00000000"/>
  </w:font>
  <w:font w:name="楷体_GB2312">
    <w:altName w:val="方正楷体_GBK"/>
    <w:panose1 w:val="02010609030101010101"/>
    <w:charset w:val="86"/>
    <w:family w:val="auto"/>
    <w:pitch w:val="variable"/>
    <w:sig w:usb0="00000001" w:usb1="080E0000" w:usb2="00000000" w:usb3="00000000" w:csb0="00040000" w:csb1="00000000"/>
  </w:font>
  <w:font w:name="楷体">
    <w:altName w:val="方正楷体_GBK"/>
    <w:panose1 w:val="02010609060101010101"/>
    <w:charset w:val="86"/>
    <w:family w:val="auto"/>
    <w:pitch w:val="variable"/>
    <w:sig w:usb0="800002BF" w:usb1="38CF7CFA" w:usb2="00000016" w:usb3="00000000" w:csb0="00040001" w:csb1="00000000"/>
  </w:font>
  <w:font w:name="Times New Roman">
    <w:altName w:val="DejaVu Sans"/>
    <w:panose1 w:val="02020603050405020304"/>
    <w:charset w:val="00"/>
    <w:family w:val="roman"/>
    <w:pitch w:val="variable"/>
    <w:sig w:usb0="20007A87" w:usb1="80000000" w:usb2="00000008" w:usb3="00000000" w:csb0="000001FF" w:csb1="00000000"/>
  </w:font>
  <w:font w:name="方正书宋_GBK">
    <w:altName w:val="微软雅黑"/>
    <w:panose1 w:val="00000000000000000000"/>
    <w:charset w:val="86"/>
    <w:family w:val="auto"/>
    <w:pitch w:val="variable"/>
    <w:sig w:usb0="00000000" w:usb1="00000000" w:usb2="00000010" w:usb3="00000000" w:csb0="00040000" w:csb1="00000000"/>
  </w:font>
  <w:font w:name="仿宋">
    <w:altName w:val="方正仿宋_GBK"/>
    <w:panose1 w:val="02010609060101010101"/>
    <w:charset w:val="86"/>
    <w:family w:val="auto"/>
    <w:pitch w:val="variable"/>
    <w:sig w:usb0="800002BF" w:usb1="38CF7CFA" w:usb2="00000016" w:usb3="00000000" w:csb0="00040001" w:csb1="00000000"/>
  </w:font>
  <w:font w:name="?????_GBK">
    <w:altName w:val="DejaVu Sans"/>
    <w:panose1 w:val="00000000000000000000"/>
    <w:charset w:val="00"/>
    <w:family w:val="auto"/>
    <w:pitch w:val="variable"/>
    <w:sig w:usb0="00000000" w:usb1="00000000" w:usb2="00000000" w:usb3="00000000" w:csb0="00000001" w:csb1="00000000"/>
  </w:font>
  <w:font w:name="Calibri">
    <w:altName w:val="DejaVu Sans"/>
    <w:panose1 w:val="020F0502020204030204"/>
    <w:charset w:val="00"/>
    <w:family w:val="auto"/>
    <w:pitch w:val="variable"/>
    <w:sig w:usb0="E10002FF" w:usb1="4000ACFF" w:usb2="00000009" w:usb3="00000000" w:csb0="2000019F" w:csb1="00000000"/>
  </w:font>
  <w:font w:name="FZFangSong-Z02">
    <w:altName w:val="DejaVu Sans"/>
    <w:panose1 w:val="00000000000000000000"/>
    <w:charset w:val="00"/>
    <w:family w:val="auto"/>
    <w:pitch w:val="variable"/>
    <w:sig w:usb0="00000000" w:usb1="00000000" w:usb2="00000000" w:usb3="00000000" w:csb0="00000001" w:csb1="00000000"/>
  </w:font>
  <w:font w:name="Lucida Sans">
    <w:panose1 w:val="020B0602030504020204"/>
    <w:charset w:val="00"/>
    <w:family w:val="auto"/>
    <w:pitch w:val="variable"/>
    <w:sig w:usb0="00000003" w:usb1="00000000" w:usb2="00000000" w:usb3="00000000" w:csb0="20000001" w:csb1="00000000"/>
  </w:font>
  <w:font w:name="方正兰亭黑_GBK">
    <w:panose1 w:val="02000000000000000000"/>
    <w:charset w:val="86"/>
    <w:family w:val="script"/>
    <w:pitch w:val="variable"/>
    <w:sig w:usb0="A00002BF" w:usb1="3ACF7CFA" w:usb2="00080016" w:usb3="00000000" w:csb0="00040001" w:csb1="00000000"/>
  </w:font>
</w:fonts>
</file>

<file path=word/header1.xml><?xml version="1.0" encoding="utf-8"?>
<w:hd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6"/>
      <w:pBdr>
        <w:bottom w:val="none" w:sz="0" w:space="0" w:color="auto"/>
      </w:pBdr>
      <w:tabs>
        <w:tab w:val="center" w:pos="4153"/>
        <w:tab w:val="right" w:pos="8306"/>
      </w:tabs>
    </w:pPr>
  </w:p>
</w:hd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val="fullPage" w:percent="99"/>
  <w:bordersDoNotSurroundHeader/>
  <w:bordersDoNotSurroundFooter/>
  <w:defaultTabStop w:val="420"/>
  <w:drawingGridHorizontalSpacing w:val="105"/>
  <w:drawingGridVerticalSpacing w:val="156"/>
  <w:displayHorizontalDrawingGridEvery w:val="1"/>
  <w:displayVerticalDrawingGridEvery w:val="1"/>
  <w:noPunctuationKerning/>
  <w:characterSpacingControl w:val="compressPunctuation"/>
  <w:noLineBreaksAfter w:lang="zh-CN" w:val="$([{£¥·‘“〈《「『【〔〖〝﹙﹛﹝＄（．［｛￡￥"/>
  <w:noLineBreaksBefore w:lang="zh-CN" w:val="!%),.:;&gt;?]}¢¨°·ˇˉ―‖’”…‰′″›℃∶、。〃〉》」』】〕〗〞︶︺︾﹀﹄﹚﹜﹞！＂％＇），．：；？］｀｜｝～￠"/>
  <w:compat>
    <w:spaceForUL/>
    <w:balanceSingleByteDoubleByteWidth/>
    <w:ulTrailSpace/>
    <w:doNotExpandShiftReturn/>
    <w:adjustLineHeightInTable/>
    <w:doNotUseIndentAsNumberingTabStop/>
    <w:useAltKinsokuLineBreakRules/>
    <w:doNotSuppressIndentation/>
    <w:splitPgBreakAndParaMark/>
    <w:autofitToFirstFixedWidthCell/>
    <w:compatSetting w:name="compatibilityMode" w:uri="http://schemas.microsoft.com/office/word" w:val="12"/>
  </w:compat>
  <m:mathPr>
    <m:mathFont m:val="Cambria Math"/>
    <m:brkBin m:val="before"/>
    <m:brkBinSub m:val="--"/>
    <m:smallFrac/>
    <m:dispDef/>
    <m:lMargin m:val="0"/>
    <m:rMargin m:val="0"/>
    <m:defJc m:val="centerGroup"/>
    <m:wrapIndent m:val="1440"/>
    <m:intLim m:val="subSup"/>
    <m:naryLim m:val="undOvr"/>
  </m:mathPr>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Lucida Sans"/>
        <w:lang w:val="en-US" w:eastAsia="zh-CN" w:bidi="ar-SA"/>
      </w:rPr>
    </w:rPrDefault>
    <w:pPrDefault/>
  </w:docDefaults>
  <w:latentStyles w:count="21">
    <w:lsdException w:name="heading 1" w:locked="1"/>
    <w:lsdException w:name="heading 2" w:locked="1"/>
    <w:lsdException w:name="heading 3" w:locked="1"/>
    <w:lsdException w:name="heading 4" w:locked="1"/>
    <w:lsdException w:name="heading 5" w:locked="1"/>
    <w:lsdException w:name="heading 6" w:locked="1"/>
    <w:lsdException w:name="heading 7" w:locked="1"/>
    <w:lsdException w:name="heading 8" w:locked="1"/>
    <w:lsdException w:name="heading 9"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lsdException w:name="Title" w:locked="1"/>
    <w:lsdException w:name="Subtitle" w:locked="1"/>
    <w:lsdException w:name="Strong" w:locked="1"/>
    <w:lsdException w:name="Emphasis" w:locked="1"/>
  </w:latentStyles>
  <w:style w:type="paragraph" w:default="1" w:styleId="0">
    <w:name w:val="Normal"/>
    <w:qFormat/>
    <w:pPr>
      <w:widowControl w:val="0"/>
      <w:jc w:val="both"/>
    </w:pPr>
    <w:rPr>
      <w:rFonts w:ascii="Calibri" w:eastAsia="宋体" w:cs="Times New Roman" w:hAnsi="Calibri"/>
      <w:kern w:val="2"/>
      <w:sz w:val="21"/>
      <w:szCs w:val="22"/>
      <w:lang w:val="en-US" w:eastAsia="zh-CN" w:bidi="ar-SA"/>
    </w:rPr>
  </w:style>
  <w:style w:type="paragraph" w:styleId="1">
    <w:name w:val="heading 1"/>
    <w:qFormat/>
    <w:basedOn w:val="0"/>
    <w:locked/>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Calibri" w:eastAsia="宋体" w:cs="Times New Roman" w:hAnsi="Calibri"/>
      <w:b/>
      <w:bCs/>
      <w:kern w:val="44"/>
      <w:sz w:val="44"/>
      <w:szCs w:val="44"/>
      <w:lang w:val="en-US" w:eastAsia="zh-CN" w:bidi="ar-SA"/>
    </w:rPr>
  </w:style>
  <w:style w:type="paragraph" w:styleId="2">
    <w:name w:val="heading 2"/>
    <w:qFormat/>
    <w:basedOn w:val="0"/>
    <w:locked/>
    <w:next w:val="0"/>
    <w:link w:val="2Char"/>
    <w:pPr>
      <w:keepNext/>
      <w:keepLines/>
      <w:spacing w:before="260" w:after="260" w:line="415" w:lineRule="auto"/>
      <w:outlineLvl w:val="1"/>
    </w:pPr>
    <w:rPr>
      <w:rFonts w:ascii="方正兰亭黑_GBK" w:eastAsia="黑体" w:hAnsi="方正兰亭黑_GBK"/>
      <w:b/>
      <w:bCs/>
      <w:sz w:val="32"/>
      <w:szCs w:val="32"/>
    </w:rPr>
  </w:style>
  <w:style w:type="character" w:customStyle="1" w:styleId="2Char">
    <w:name w:val="heading 2 Char"/>
    <w:basedOn w:val="10"/>
    <w:link w:val="2"/>
    <w:rPr>
      <w:rFonts w:ascii="方正兰亭黑_GBK" w:eastAsia="黑体" w:cs="Times New Roman" w:hAnsi="Calibri"/>
      <w:b/>
      <w:bCs/>
      <w:kern w:val="2"/>
      <w:sz w:val="32"/>
      <w:szCs w:val="32"/>
      <w:lang w:val="en-US" w:eastAsia="zh-CN" w:bidi="ar-SA"/>
    </w:rPr>
  </w:style>
  <w:style w:type="paragraph" w:styleId="3">
    <w:name w:val="heading 3"/>
    <w:qFormat/>
    <w:basedOn w:val="0"/>
    <w:locked/>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Calibri" w:eastAsia="宋体" w:cs="Times New Roman" w:hAnsi="Calibri"/>
      <w:b/>
      <w:bCs/>
      <w:kern w:val="2"/>
      <w:sz w:val="32"/>
      <w:szCs w:val="32"/>
      <w:lang w:val="en-US" w:eastAsia="zh-CN" w:bidi="ar-SA"/>
    </w:rPr>
  </w:style>
  <w:style w:type="character" w:default="1" w:styleId="10">
    <w:name w:val="Default Paragraph Font"/>
    <w:qFormat/>
  </w:style>
  <w:style w:type="paragraph" w:styleId="15">
    <w:name w:val="footer"/>
    <w:qFormat/>
    <w:basedOn w:val="0"/>
    <w:pPr>
      <w:tabs>
        <w:tab w:val="center" w:pos="4153"/>
        <w:tab w:val="right" w:pos="8306"/>
      </w:tabs>
      <w:snapToGrid w:val="0"/>
      <w:jc w:val="left"/>
    </w:pPr>
    <w:rPr>
      <w:rFonts w:ascii="Times New Roman" w:hAnsi="Times New Roman"/>
      <w:sz w:val="18"/>
      <w:szCs w:val="18"/>
    </w:rPr>
  </w:style>
  <w:style w:type="paragraph" w:styleId="16">
    <w:name w:val="header"/>
    <w:qFormat/>
    <w:basedOn w:val="0"/>
    <w:pPr>
      <w:pBdr>
        <w:bottom w:val="single" w:sz="6" w:space="1" w:color="auto"/>
      </w:pBdr>
      <w:tabs>
        <w:tab w:val="center" w:pos="4153"/>
        <w:tab w:val="right" w:pos="8306"/>
      </w:tabs>
      <w:snapToGrid w:val="0"/>
      <w:jc w:val="center"/>
    </w:pPr>
    <w:rPr>
      <w:rFonts w:ascii="Times New Roman" w:hAnsi="Times New Roman"/>
      <w:sz w:val="18"/>
      <w:szCs w:val="18"/>
    </w:rPr>
  </w:style>
  <w:style w:type="paragraph" w:styleId="17">
    <w:name w:val="toc 1"/>
    <w:qFormat/>
    <w:basedOn w:val="0"/>
    <w:next w:val="0"/>
    <w:rPr>
      <w:rFonts w:ascii="Times New Roman" w:hAnsi="Times New Roman"/>
      <w:szCs w:val="24"/>
    </w:rPr>
  </w:style>
  <w:style w:type="paragraph" w:styleId="18">
    <w:name w:val="toc 2"/>
    <w:qFormat/>
    <w:basedOn w:val="0"/>
    <w:next w:val="0"/>
    <w:pPr>
      <w:ind w:leftChars="200" w:left="200"/>
    </w:pPr>
    <w:rPr>
      <w:rFonts w:ascii="Times New Roman" w:hAnsi="Times New Roman"/>
      <w:szCs w:val="24"/>
    </w:rPr>
  </w:style>
  <w:style w:type="paragraph" w:customStyle="1" w:styleId="19">
    <w:name w:val="Default"/>
    <w:qFormat/>
    <w:pPr>
      <w:widowControl w:val="0"/>
      <w:autoSpaceDE w:val="0"/>
      <w:autoSpaceDN w:val="0"/>
      <w:adjustRightInd w:val="0"/>
    </w:pPr>
    <w:rPr>
      <w:rFonts w:ascii="Times New Roman" w:eastAsia="宋体" w:cs="Times New Roman" w:hAnsi="Times New Roman"/>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header" Target="header1.xml"/><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customXml" Target="../customXml/item1.xml"/><Relationship Id="rId6"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customProps>
</customData>
</file>

<file path=customXml/itemProps1.xml><?xml version="1.0" encoding="utf-8"?>
<ds:datastoreItem xmlns:ds="http://schemas.openxmlformats.org/officeDocument/2006/customXml" ds:itemID="{F1620722-CE84-49F1-8362-0A6333A24DBE}">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0</TotalTime>
  <Application>WPS_Yozo_Office9.0.5233.191ZH.S1</Application>
  <Pages>14</Pages>
  <Words>0</Words>
  <Characters>4623</Characters>
  <Lines>0</Lines>
  <Paragraphs>69</Paragraphs>
  <CharactersWithSpaces>6164</CharactersWithSpaces>
</Properties>
</file>

<file path=docProps/core.xml><?xml version="1.0" encoding="utf-8"?>
<cp:coreProperties xmlns:cp="http://schemas.openxmlformats.org/package/2006/metadata/core-properties" xmlns:dc="http://purl.org/dc/elements/1.1/" xmlns:dcterms="http://purl.org/dc/terms/" xmlns:xsi="http://www.w3.org/2001/XMLSchema-instance">
  <dc:title>河北省</dc:title>
  <dc:creator>guest</dc:creator>
  <cp:lastModifiedBy>uos05</cp:lastModifiedBy>
  <cp:revision>0</cp:revision>
  <cp:lastPrinted>2018-02-24T01:47:00Z</cp:lastPrinted>
  <dcterms:created xsi:type="dcterms:W3CDTF">2019-02-11T01:28:00Z</dcterms:created>
  <dcterms:modified xsi:type="dcterms:W3CDTF">2024-11-01T06:30:09Z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2052-9.1.0.4940</vt:lpwstr>
  </property>
</Properties>
</file>