
<file path=[Content_Types].xml><?xml version="1.0" encoding="utf-8"?>
<Types xmlns="http://schemas.openxmlformats.org/package/2006/content-types">
  <Default Extension="xml" ContentType="application/xml"/>
  <Default Extension="bmp" ContentType="image/bmp"/>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ectPr>
          <w:headerReference r:id="rId5" w:type="first"/>
          <w:footerReference r:id="rId8" w:type="first"/>
          <w:headerReference r:id="rId3" w:type="default"/>
          <w:footerReference r:id="rId6" w:type="default"/>
          <w:headerReference r:id="rId4" w:type="even"/>
          <w:footerReference r:id="rId7" w:type="even"/>
          <w:pgSz w:w="11906" w:h="16838"/>
          <w:pgMar w:top="0" w:right="0" w:bottom="0" w:left="0" w:header="851" w:footer="992" w:gutter="0"/>
          <w:cols w:space="425" w:num="1"/>
          <w:titlePg/>
          <w:docGrid w:type="lines" w:linePitch="312" w:charSpace="0"/>
        </w:sectPr>
      </w:pPr>
      <w:r>
        <mc:AlternateContent>
          <mc:Choice Requires="wps">
            <w:drawing>
              <wp:anchor distT="0" distB="0" distL="114300" distR="114300" simplePos="0" relativeHeight="251663360" behindDoc="0" locked="0" layoutInCell="1" allowOverlap="1">
                <wp:simplePos x="0" y="0"/>
                <wp:positionH relativeFrom="column">
                  <wp:posOffset>1349375</wp:posOffset>
                </wp:positionH>
                <wp:positionV relativeFrom="paragraph">
                  <wp:posOffset>8808085</wp:posOffset>
                </wp:positionV>
                <wp:extent cx="5132705" cy="1015365"/>
                <wp:effectExtent l="0" t="0" r="0" b="0"/>
                <wp:wrapNone/>
                <wp:docPr id="9" name="文本框 10"/>
                <wp:cNvGraphicFramePr/>
                <a:graphic xmlns:a="http://schemas.openxmlformats.org/drawingml/2006/main">
                  <a:graphicData uri="http://schemas.microsoft.com/office/word/2010/wordprocessingShape">
                    <wps:wsp>
                      <wps:cNvSpPr txBox="1"/>
                      <wps:spPr>
                        <a:xfrm>
                          <a:off x="0" y="0"/>
                          <a:ext cx="5132705" cy="1015365"/>
                        </a:xfrm>
                        <a:prstGeom prst="rect">
                          <a:avLst/>
                        </a:prstGeom>
                        <a:noFill/>
                        <a:ln>
                          <a:noFill/>
                        </a:ln>
                      </wps:spPr>
                      <wps:txbx>
                        <w:txbxContent>
                          <w:p>
                            <w:pPr>
                              <w:jc w:val="center"/>
                              <w:rPr>
                                <w:rFonts w:ascii="楷体_GB2312" w:hAnsi="楷体_GB2312" w:eastAsia="楷体_GB2312" w:cs="楷体_GB2312"/>
                                <w:color w:val="000000"/>
                                <w:kern w:val="0"/>
                                <w:sz w:val="44"/>
                                <w:szCs w:val="44"/>
                              </w:rPr>
                            </w:pPr>
                            <w:r>
                              <w:rPr>
                                <w:rFonts w:hint="eastAsia" w:ascii="楷体_GB2312" w:hAnsi="楷体_GB2312" w:eastAsia="楷体_GB2312" w:cs="楷体_GB2312"/>
                                <w:color w:val="000000"/>
                                <w:kern w:val="0"/>
                                <w:sz w:val="44"/>
                                <w:szCs w:val="44"/>
                              </w:rPr>
                              <w:t>二0二0年十二月</w:t>
                            </w:r>
                          </w:p>
                        </w:txbxContent>
                      </wps:txbx>
                      <wps:bodyPr upright="1">
                        <a:spAutoFit/>
                      </wps:bodyPr>
                    </wps:wsp>
                  </a:graphicData>
                </a:graphic>
              </wp:anchor>
            </w:drawing>
          </mc:Choice>
          <mc:Fallback>
            <w:pict>
              <v:shape id="文本框 10" o:spid="_x0000_s1026" o:spt="202" type="#_x0000_t202" style="position:absolute;left:0pt;margin-left:106.25pt;margin-top:693.55pt;height:79.95pt;width:404.15pt;z-index:251663360;mso-width-relative:page;mso-height-relative:page;" filled="f" stroked="f" coordsize="21600,21600" o:gfxdata="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i9lks2QAAAA4BAAAPAAAAAAAAAAEAIAAAACIAAABkcnMvZG93bnJldi54bWxQSwEC&#10;FAAUAAAACACHTuJAWRM2e7oBAABqAwAADgAAAAAAAAABACAAAAAoAQAAZHJzL2Uyb0RvYy54bWxQ&#10;SwUGAAAAAAYABgBZAQAAVAUAAAAA&#10;">
                <v:fill on="f" focussize="0,0"/>
                <v:stroke on="f"/>
                <v:imagedata o:title=""/>
                <o:lock v:ext="edit" aspectratio="f"/>
                <v:textbox style="mso-fit-shape-to-text:t;">
                  <w:txbxContent>
                    <w:p>
                      <w:pPr>
                        <w:jc w:val="center"/>
                        <w:rPr>
                          <w:rFonts w:ascii="楷体_GB2312" w:hAnsi="楷体_GB2312" w:eastAsia="楷体_GB2312" w:cs="楷体_GB2312"/>
                          <w:color w:val="000000"/>
                          <w:kern w:val="0"/>
                          <w:sz w:val="44"/>
                          <w:szCs w:val="44"/>
                        </w:rPr>
                      </w:pPr>
                      <w:r>
                        <w:rPr>
                          <w:rFonts w:hint="eastAsia" w:ascii="楷体_GB2312" w:hAnsi="楷体_GB2312" w:eastAsia="楷体_GB2312" w:cs="楷体_GB2312"/>
                          <w:color w:val="000000"/>
                          <w:kern w:val="0"/>
                          <w:sz w:val="44"/>
                          <w:szCs w:val="44"/>
                        </w:rPr>
                        <w:t>二0二0年十二月</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column">
                  <wp:posOffset>679450</wp:posOffset>
                </wp:positionH>
                <wp:positionV relativeFrom="paragraph">
                  <wp:posOffset>2952115</wp:posOffset>
                </wp:positionV>
                <wp:extent cx="1548765" cy="1548765"/>
                <wp:effectExtent l="0" t="0" r="13335" b="13335"/>
                <wp:wrapNone/>
                <wp:docPr id="4" name="椭圆 8"/>
                <wp:cNvGraphicFramePr/>
                <a:graphic xmlns:a="http://schemas.openxmlformats.org/drawingml/2006/main">
                  <a:graphicData uri="http://schemas.microsoft.com/office/word/2010/wordprocessingShape">
                    <wps:wsp>
                      <wps:cNvSpPr/>
                      <wps:spPr>
                        <a:xfrm>
                          <a:off x="0" y="0"/>
                          <a:ext cx="1548765" cy="1548765"/>
                        </a:xfrm>
                        <a:prstGeom prst="ellipse">
                          <a:avLst/>
                        </a:prstGeom>
                        <a:solidFill>
                          <a:srgbClr val="FFFFFF"/>
                        </a:solidFill>
                        <a:ln>
                          <a:noFill/>
                        </a:ln>
                      </wps:spPr>
                      <wps:bodyPr anchor="ctr" anchorCtr="0" upright="1"/>
                    </wps:wsp>
                  </a:graphicData>
                </a:graphic>
              </wp:anchor>
            </w:drawing>
          </mc:Choice>
          <mc:Fallback>
            <w:pict>
              <v:shape id="椭圆 8" o:spid="_x0000_s1026" o:spt="3" type="#_x0000_t3" style="position:absolute;left:0pt;margin-left:53.5pt;margin-top:232.45pt;height:121.95pt;width:121.95pt;z-index:251660288;v-text-anchor:middle;mso-width-relative:page;mso-height-relative:page;" fillcolor="#FFFFFF" filled="t" stroked="f" coordsize="21600,21600" o:gfxdata="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FsMPojZAAAACwEAAA8AAAAAAAAAAQAgAAAAIgAAAGRycy9kb3ducmV2Lnht&#10;bFBLAQIUABQAAAAIAIdO4kBKHTLrvwEAAH4DAAAOAAAAAAAAAAEAIAAAACgBAABkcnMvZTJvRG9j&#10;LnhtbFBLBQYAAAAABgAGAFkBAABZBQAAAAA=&#10;">
                <v:fill on="t" focussize="0,0"/>
                <v:stroke on="f"/>
                <v:imagedata o:title=""/>
                <o:lock v:ext="edit" aspectratio="f"/>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426720</wp:posOffset>
                </wp:positionH>
                <wp:positionV relativeFrom="paragraph">
                  <wp:posOffset>3260725</wp:posOffset>
                </wp:positionV>
                <wp:extent cx="2040255" cy="883920"/>
                <wp:effectExtent l="0" t="0" r="0" b="0"/>
                <wp:wrapNone/>
                <wp:docPr id="11" name="矩形 14"/>
                <wp:cNvGraphicFramePr/>
                <a:graphic xmlns:a="http://schemas.openxmlformats.org/drawingml/2006/main">
                  <a:graphicData uri="http://schemas.microsoft.com/office/word/2010/wordprocessingShape">
                    <wps:wsp>
                      <wps:cNvSpPr/>
                      <wps:spPr>
                        <a:xfrm>
                          <a:off x="0" y="0"/>
                          <a:ext cx="2040255" cy="883920"/>
                        </a:xfrm>
                        <a:prstGeom prst="rect">
                          <a:avLst/>
                        </a:prstGeom>
                        <a:noFill/>
                        <a:ln>
                          <a:noFill/>
                        </a:ln>
                      </wps:spPr>
                      <wps:txbx>
                        <w:txbxContent>
                          <w:p>
                            <w:pPr>
                              <w:spacing w:line="360" w:lineRule="auto"/>
                              <w:jc w:val="center"/>
                              <w:rPr>
                                <w:kern w:val="0"/>
                                <w:sz w:val="28"/>
                                <w:szCs w:val="28"/>
                              </w:rPr>
                            </w:pPr>
                            <w:r>
                              <w:rPr>
                                <w:rFonts w:hint="eastAsia" w:ascii="Yu Gothic UI Semibold" w:hAnsi="Yu Gothic UI Semibold" w:eastAsia="宋体"/>
                                <w:color w:val="FFFFFF"/>
                                <w:kern w:val="24"/>
                                <w:sz w:val="72"/>
                                <w:szCs w:val="72"/>
                              </w:rPr>
                              <w:t>2019</w:t>
                            </w:r>
                          </w:p>
                        </w:txbxContent>
                      </wps:txbx>
                      <wps:bodyPr upright="1">
                        <a:spAutoFit/>
                      </wps:bodyPr>
                    </wps:wsp>
                  </a:graphicData>
                </a:graphic>
              </wp:anchor>
            </w:drawing>
          </mc:Choice>
          <mc:Fallback>
            <w:pict>
              <v:rect id="矩形 14" o:spid="_x0000_s1026" o:spt="1" style="position:absolute;left:0pt;margin-left:33.6pt;margin-top:256.75pt;height:69.6pt;width:160.65pt;z-index:251665408;mso-width-relative:page;mso-height-relative:page;" filled="f" stroked="f" coordsize="21600,21600" o:gfxdata="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pV&#10;qbnZAAAACgEAAA8AAAAAAAAAAQAgAAAAIgAAAGRycy9kb3ducmV2LnhtbFBLAQIUABQAAAAIAIdO&#10;4kDA0TuBsAEAAF0DAAAOAAAAAAAAAAEAIAAAACgBAABkcnMvZTJvRG9jLnhtbFBLBQYAAAAABgAG&#10;AFkBAABKBQAAAAA=&#10;">
                <v:fill on="f" focussize="0,0"/>
                <v:stroke on="f"/>
                <v:imagedata o:title=""/>
                <o:lock v:ext="edit" aspectratio="f"/>
                <v:textbox style="mso-fit-shape-to-text:t;">
                  <w:txbxContent>
                    <w:p>
                      <w:pPr>
                        <w:spacing w:line="360" w:lineRule="auto"/>
                        <w:jc w:val="center"/>
                        <w:rPr>
                          <w:kern w:val="0"/>
                          <w:sz w:val="28"/>
                          <w:szCs w:val="28"/>
                        </w:rPr>
                      </w:pPr>
                      <w:r>
                        <w:rPr>
                          <w:rFonts w:hint="eastAsia" w:ascii="Yu Gothic UI Semibold" w:hAnsi="Yu Gothic UI Semibold" w:eastAsia="宋体"/>
                          <w:color w:val="FFFFFF"/>
                          <w:kern w:val="24"/>
                          <w:sz w:val="72"/>
                          <w:szCs w:val="72"/>
                        </w:rPr>
                        <w:t>2019</w:t>
                      </w:r>
                    </w:p>
                  </w:txbxContent>
                </v:textbox>
              </v:rect>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789940</wp:posOffset>
                </wp:positionH>
                <wp:positionV relativeFrom="paragraph">
                  <wp:posOffset>3082925</wp:posOffset>
                </wp:positionV>
                <wp:extent cx="1313815" cy="1313815"/>
                <wp:effectExtent l="0" t="0" r="635" b="635"/>
                <wp:wrapNone/>
                <wp:docPr id="10" name="椭圆 9"/>
                <wp:cNvGraphicFramePr/>
                <a:graphic xmlns:a="http://schemas.openxmlformats.org/drawingml/2006/main">
                  <a:graphicData uri="http://schemas.microsoft.com/office/word/2010/wordprocessingShape">
                    <wps:wsp>
                      <wps:cNvSpPr/>
                      <wps:spPr>
                        <a:xfrm>
                          <a:off x="0" y="0"/>
                          <a:ext cx="1313815" cy="1313815"/>
                        </a:xfrm>
                        <a:prstGeom prst="ellipse">
                          <a:avLst/>
                        </a:prstGeom>
                        <a:solidFill>
                          <a:srgbClr val="1F2959"/>
                        </a:solidFill>
                        <a:ln>
                          <a:noFill/>
                        </a:ln>
                      </wps:spPr>
                      <wps:bodyPr anchor="ctr" anchorCtr="0" upright="1"/>
                    </wps:wsp>
                  </a:graphicData>
                </a:graphic>
              </wp:anchor>
            </w:drawing>
          </mc:Choice>
          <mc:Fallback>
            <w:pict>
              <v:shape id="椭圆 9" o:spid="_x0000_s1026" o:spt="3" type="#_x0000_t3" style="position:absolute;left:0pt;margin-left:62.2pt;margin-top:242.75pt;height:103.45pt;width:103.45pt;z-index:251664384;v-text-anchor:middle;mso-width-relative:page;mso-height-relative:page;" fillcolor="#1F2959" filled="t" stroked="f" coordsize="21600,21600" o:gfxdata="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8I25q2wAAAAsBAAAPAAAAAAAAAAEAIAAAACIAAABkcnMvZG93bnJl&#10;di54bWxQSwECFAAUAAAACACHTuJAoWd5J8EBAAB/AwAADgAAAAAAAAABACAAAAAqAQAAZHJzL2Uy&#10;b0RvYy54bWxQSwUGAAAAAAYABgBZAQAAXQUAAAAA&#10;">
                <v:fill on="t" focussize="0,0"/>
                <v:stroke on="f"/>
                <v:imagedata o:title=""/>
                <o:lock v:ext="edit" aspectratio="f"/>
              </v:shape>
            </w:pict>
          </mc:Fallback>
        </mc:AlternateContent>
      </w:r>
      <w:r>
        <mc:AlternateContent>
          <mc:Choice Requires="wpg">
            <w:drawing>
              <wp:anchor distT="0" distB="0" distL="114300" distR="114300" simplePos="0" relativeHeight="251661312" behindDoc="0" locked="0" layoutInCell="1" allowOverlap="1">
                <wp:simplePos x="0" y="0"/>
                <wp:positionH relativeFrom="column">
                  <wp:posOffset>15875</wp:posOffset>
                </wp:positionH>
                <wp:positionV relativeFrom="paragraph">
                  <wp:posOffset>10435590</wp:posOffset>
                </wp:positionV>
                <wp:extent cx="7559675" cy="272415"/>
                <wp:effectExtent l="0" t="0" r="0" b="0"/>
                <wp:wrapNone/>
                <wp:docPr id="7" name="Group 15"/>
                <wp:cNvGraphicFramePr/>
                <a:graphic xmlns:a="http://schemas.openxmlformats.org/drawingml/2006/main">
                  <a:graphicData uri="http://schemas.microsoft.com/office/word/2010/wordprocessingGroup">
                    <wpg:wgp>
                      <wpg:cNvGrpSpPr/>
                      <wpg:grpSpPr>
                        <a:xfrm>
                          <a:off x="0" y="0"/>
                          <a:ext cx="7559675" cy="272415"/>
                          <a:chOff x="1483" y="16692"/>
                          <a:chExt cx="11905" cy="429203"/>
                        </a:xfrm>
                      </wpg:grpSpPr>
                      <wps:wsp>
                        <wps:cNvPr id="5" name="矩形 6"/>
                        <wps:cNvSpPr/>
                        <wps:spPr>
                          <a:xfrm>
                            <a:off x="1483" y="16692"/>
                            <a:ext cx="1125" cy="428"/>
                          </a:xfrm>
                          <a:prstGeom prst="rect">
                            <a:avLst/>
                          </a:prstGeom>
                          <a:solidFill>
                            <a:srgbClr val="FDBC11"/>
                          </a:solidFill>
                          <a:ln>
                            <a:noFill/>
                          </a:ln>
                        </wps:spPr>
                        <wps:bodyPr anchor="ctr" anchorCtr="0" upright="1"/>
                      </wps:wsp>
                      <wps:wsp>
                        <wps:cNvPr id="6" name="矩形 7"/>
                        <wps:cNvSpPr/>
                        <wps:spPr>
                          <a:xfrm>
                            <a:off x="2608" y="16693"/>
                            <a:ext cx="10780" cy="428"/>
                          </a:xfrm>
                          <a:prstGeom prst="rect">
                            <a:avLst/>
                          </a:prstGeom>
                          <a:solidFill>
                            <a:srgbClr val="1F2959"/>
                          </a:solidFill>
                          <a:ln>
                            <a:noFill/>
                          </a:ln>
                        </wps:spPr>
                        <wps:bodyPr anchor="ctr" anchorCtr="0" upright="1"/>
                      </wps:wsp>
                    </wpg:wgp>
                  </a:graphicData>
                </a:graphic>
              </wp:anchor>
            </w:drawing>
          </mc:Choice>
          <mc:Fallback>
            <w:pict>
              <v:group id="Group 15" o:spid="_x0000_s1026" o:spt="203" style="position:absolute;left:0pt;margin-left:1.25pt;margin-top:821.7pt;height:21.45pt;width:595.25pt;z-index:251661312;mso-width-relative:page;mso-height-relative:page;" coordorigin="1483,16692" coordsize="11905,429203" o:gfxdata="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NNc&#10;nyXaAAAADAEAAA8AAAAAAAAAAQAgAAAAIgAAAGRycy9kb3ducmV2LnhtbFBLAQIUABQAAAAIAIdO&#10;4kCIjj2QWgIAAE0GAAAOAAAAAAAAAAEAIAAAACkBAABkcnMvZTJvRG9jLnhtbFBLBQYAAAAABgAG&#10;AFkBAAD1BQAAAAA=&#10;">
                <o:lock v:ext="edit" aspectratio="f"/>
                <v:rect id="矩形 6" o:spid="_x0000_s1026" o:spt="1" style="position:absolute;left:1483;top:16692;height:428;width:1125;v-text-anchor:middle;" fillcolor="#FDBC11" filled="t" stroked="f" coordsize="21600,21600" o:gfxdata="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WlA0DvQAA&#10;ANoAAAAPAAAAAAAAAAEAIAAAACIAAABkcnMvZG93bnJldi54bWxQSwECFAAUAAAACACHTuJAMy8F&#10;njsAAAA5AAAAEAAAAAAAAAABACAAAAAMAQAAZHJzL3NoYXBleG1sLnhtbFBLBQYAAAAABgAGAFsB&#10;AAC2AwAAAAA=&#10;">
                  <v:fill on="t" focussize="0,0"/>
                  <v:stroke on="f"/>
                  <v:imagedata o:title=""/>
                  <o:lock v:ext="edit" aspectratio="f"/>
                </v:rect>
                <v:rect id="矩形 7" o:spid="_x0000_s1026" o:spt="1" style="position:absolute;left:2608;top:16693;height:428;width:10780;v-text-anchor:middle;" fillcolor="#1F2959" filled="t" stroked="f" coordsize="21600,21600" o:gfxdata="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ojhZr4A&#10;AADaAAAADwAAAAAAAAABACAAAAAiAAAAZHJzL2Rvd25yZXYueG1sUEsBAhQAFAAAAAgAh07iQDMv&#10;BZ47AAAAOQAAABAAAAAAAAAAAQAgAAAADQEAAGRycy9zaGFwZXhtbC54bWxQSwUGAAAAAAYABgBb&#10;AQAAtwMAAAAA&#10;">
                  <v:fill on="t" focussize="0,0"/>
                  <v:stroke on="f"/>
                  <v:imagedata o:title=""/>
                  <o:lock v:ext="edit" aspectratio="f"/>
                </v:rect>
              </v:group>
            </w:pict>
          </mc:Fallback>
        </mc:AlternateContent>
      </w:r>
      <w:r>
        <mc:AlternateContent>
          <mc:Choice Requires="wpg">
            <w:drawing>
              <wp:anchor distT="0" distB="0" distL="114300" distR="114300" simplePos="0" relativeHeight="251659264" behindDoc="1" locked="0" layoutInCell="1" allowOverlap="1">
                <wp:simplePos x="0" y="0"/>
                <wp:positionH relativeFrom="column">
                  <wp:posOffset>-31750</wp:posOffset>
                </wp:positionH>
                <wp:positionV relativeFrom="paragraph">
                  <wp:posOffset>0</wp:posOffset>
                </wp:positionV>
                <wp:extent cx="7623175" cy="3917950"/>
                <wp:effectExtent l="0" t="0" r="15875" b="6350"/>
                <wp:wrapNone/>
                <wp:docPr id="3" name="组合 4"/>
                <wp:cNvGraphicFramePr/>
                <a:graphic xmlns:a="http://schemas.openxmlformats.org/drawingml/2006/main">
                  <a:graphicData uri="http://schemas.microsoft.com/office/word/2010/wordprocessingGroup">
                    <wpg:wgp>
                      <wpg:cNvGrpSpPr/>
                      <wpg:grpSpPr>
                        <a:xfrm>
                          <a:off x="0" y="0"/>
                          <a:ext cx="7623175" cy="3917950"/>
                          <a:chOff x="13622" y="283"/>
                          <a:chExt cx="12005" cy="6170"/>
                        </a:xfrm>
                      </wpg:grpSpPr>
                      <wps:wsp>
                        <wps:cNvPr id="1" name="矩形 5"/>
                        <wps:cNvSpPr/>
                        <wps:spPr>
                          <a:xfrm>
                            <a:off x="13622" y="283"/>
                            <a:ext cx="12005" cy="6170"/>
                          </a:xfrm>
                          <a:prstGeom prst="rect">
                            <a:avLst/>
                          </a:prstGeom>
                          <a:solidFill>
                            <a:srgbClr val="FDBC11"/>
                          </a:solidFill>
                          <a:ln>
                            <a:noFill/>
                          </a:ln>
                        </wps:spPr>
                        <wps:bodyPr anchor="ctr" anchorCtr="0" upright="1"/>
                      </wps:wsp>
                      <wps:wsp>
                        <wps:cNvPr id="2" name="Quad Arrow 6"/>
                        <wps:cNvSpPr txBox="1"/>
                        <wps:spPr>
                          <a:xfrm>
                            <a:off x="17229" y="5021"/>
                            <a:ext cx="8083" cy="1392"/>
                          </a:xfrm>
                          <a:prstGeom prst="rect">
                            <a:avLst/>
                          </a:prstGeom>
                          <a:noFill/>
                          <a:ln>
                            <a:noFill/>
                          </a:ln>
                        </wps:spPr>
                        <wps:txbx>
                          <w:txbxContent>
                            <w:p>
                              <w:pPr>
                                <w:jc w:val="left"/>
                                <w:rPr>
                                  <w:color w:val="000000"/>
                                  <w:kern w:val="0"/>
                                  <w:sz w:val="92"/>
                                  <w:szCs w:val="92"/>
                                </w:rPr>
                              </w:pPr>
                              <w:r>
                                <w:rPr>
                                  <w:rFonts w:hint="eastAsia" w:ascii="思源黑体 HW Bold" w:hAnsi="思源黑体 HW Bold" w:eastAsia="思源黑体 HW Bold"/>
                                  <w:color w:val="000000"/>
                                  <w:kern w:val="24"/>
                                  <w:sz w:val="92"/>
                                  <w:szCs w:val="92"/>
                                </w:rPr>
                                <w:t>部门决算公开文本</w:t>
                              </w:r>
                            </w:p>
                          </w:txbxContent>
                        </wps:txbx>
                        <wps:bodyPr upright="1">
                          <a:spAutoFit/>
                        </wps:bodyPr>
                      </wps:wsp>
                    </wpg:wgp>
                  </a:graphicData>
                </a:graphic>
              </wp:anchor>
            </w:drawing>
          </mc:Choice>
          <mc:Fallback>
            <w:pict>
              <v:group id="组合 4" o:spid="_x0000_s1026" o:spt="203" style="position:absolute;left:0pt;margin-left:-2.5pt;margin-top:0pt;height:308.5pt;width:600.25pt;z-index:-251657216;mso-width-relative:page;mso-height-relative:page;" coordorigin="13622,283" coordsize="12005,6170" o:gfxdata="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CqIQ4HYAAAACAEA&#10;AA8AAAAAAAAAAQAgAAAAIgAAAGRycy9kb3ducmV2LnhtbFBLAQIUABQAAAAIAIdO4kAAc1KqjAIA&#10;ADsGAAAOAAAAAAAAAAEAIAAAACcBAABkcnMvZTJvRG9jLnhtbFBLBQYAAAAABgAGAFkBAAAlBgAA&#10;AAA=&#10;">
                <o:lock v:ext="edit" aspectratio="f"/>
                <v:rect id="矩形 5" o:spid="_x0000_s1026" o:spt="1" style="position:absolute;left:13622;top:283;height:6170;width:12005;v-text-anchor:middle;" fillcolor="#FDBC11" filled="t" stroked="f" coordsize="21600,21600" o:gfxdata="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mvCwC5AAAA2gAA&#10;AA8AAAAAAAAAAQAgAAAAIgAAAGRycy9kb3ducmV2LnhtbFBLAQIUABQAAAAIAIdO4kAzLwWeOwAA&#10;ADkAAAAQAAAAAAAAAAEAIAAAAAgBAABkcnMvc2hhcGV4bWwueG1sUEsFBgAAAAAGAAYAWwEAALID&#10;AAAAAA==&#10;">
                  <v:fill on="t" focussize="0,0"/>
                  <v:stroke on="f"/>
                  <v:imagedata o:title=""/>
                  <o:lock v:ext="edit" aspectratio="f"/>
                </v:rect>
                <v:shape id="Quad Arrow 6" o:spid="_x0000_s1026" o:spt="202" type="#_x0000_t202" style="position:absolute;left:17229;top:5021;height:1392;width:8083;" filled="f" stroked="f" coordsize="21600,21600" o:gfxdata="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NhXmougAAANoA&#10;AAAPAAAAAAAAAAEAIAAAACIAAABkcnMvZG93bnJldi54bWxQSwECFAAUAAAACACHTuJAMy8FnjsA&#10;AAA5AAAAEAAAAAAAAAABACAAAAAJAQAAZHJzL3NoYXBleG1sLnhtbFBLBQYAAAAABgAGAFsBAACz&#10;AwAAAAA=&#10;">
                  <v:fill on="f" focussize="0,0"/>
                  <v:stroke on="f"/>
                  <v:imagedata o:title=""/>
                  <o:lock v:ext="edit" aspectratio="f"/>
                  <v:textbox style="mso-fit-shape-to-text:t;">
                    <w:txbxContent>
                      <w:p>
                        <w:pPr>
                          <w:jc w:val="left"/>
                          <w:rPr>
                            <w:color w:val="000000"/>
                            <w:kern w:val="0"/>
                            <w:sz w:val="92"/>
                            <w:szCs w:val="92"/>
                          </w:rPr>
                        </w:pPr>
                        <w:r>
                          <w:rPr>
                            <w:rFonts w:hint="eastAsia" w:ascii="思源黑体 HW Bold" w:hAnsi="思源黑体 HW Bold" w:eastAsia="思源黑体 HW Bold"/>
                            <w:color w:val="000000"/>
                            <w:kern w:val="24"/>
                            <w:sz w:val="92"/>
                            <w:szCs w:val="92"/>
                          </w:rPr>
                          <w:t>部门决算公开文本</w:t>
                        </w:r>
                      </w:p>
                    </w:txbxContent>
                  </v:textbox>
                </v:shape>
              </v:group>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2346325</wp:posOffset>
                </wp:positionH>
                <wp:positionV relativeFrom="paragraph">
                  <wp:posOffset>3639820</wp:posOffset>
                </wp:positionV>
                <wp:extent cx="4313555" cy="396875"/>
                <wp:effectExtent l="0" t="0" r="0" b="0"/>
                <wp:wrapNone/>
                <wp:docPr id="8" name="矩形 11"/>
                <wp:cNvGraphicFramePr/>
                <a:graphic xmlns:a="http://schemas.openxmlformats.org/drawingml/2006/main">
                  <a:graphicData uri="http://schemas.microsoft.com/office/word/2010/wordprocessingShape">
                    <wps:wsp>
                      <wps:cNvSpPr/>
                      <wps:spPr>
                        <a:xfrm>
                          <a:off x="0" y="0"/>
                          <a:ext cx="4313555" cy="396875"/>
                        </a:xfrm>
                        <a:prstGeom prst="rect">
                          <a:avLst/>
                        </a:prstGeom>
                        <a:noFill/>
                        <a:ln>
                          <a:noFill/>
                        </a:ln>
                      </wps:spPr>
                      <wps:txbx>
                        <w:txbxContent>
                          <w:p/>
                        </w:txbxContent>
                      </wps:txbx>
                      <wps:bodyPr wrap="none" upright="1">
                        <a:spAutoFit/>
                      </wps:bodyPr>
                    </wps:wsp>
                  </a:graphicData>
                </a:graphic>
              </wp:anchor>
            </w:drawing>
          </mc:Choice>
          <mc:Fallback>
            <w:pict>
              <v:rect id="矩形 11" o:spid="_x0000_s1026" o:spt="1" style="position:absolute;left:0pt;margin-left:184.75pt;margin-top:286.6pt;height:31.25pt;width:339.65pt;mso-wrap-style:none;z-index:251662336;mso-width-relative:page;mso-height-relative:page;" filled="f" stroked="f" coordsize="21600,21600" o:gfxdata="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lmQX0dsAAAAMAQAADwAAAAAAAAABACAAAAAiAAAAZHJzL2Rvd25yZXYueG1sUEsB&#10;AhQAFAAAAAgAh07iQPDhKqS5AQAAaAMAAA4AAAAAAAAAAQAgAAAAKgEAAGRycy9lMm9Eb2MueG1s&#10;UEsFBgAAAAAGAAYAWQEAAFUFAAAAAA==&#10;">
                <v:fill on="f" focussize="0,0"/>
                <v:stroke on="f"/>
                <v:imagedata o:title=""/>
                <o:lock v:ext="edit" aspectratio="f"/>
                <v:textbox style="mso-fit-shape-to-text:t;">
                  <w:txbxContent>
                    <w:p/>
                  </w:txbxContent>
                </v:textbox>
              </v:rect>
            </w:pict>
          </mc:Fallback>
        </mc:AlternateContent>
      </w:r>
    </w:p>
    <w:p/>
    <w:p>
      <w:pPr>
        <w:jc w:val="center"/>
        <w:rPr>
          <w:rFonts w:ascii="黑体" w:hAnsi="黑体" w:eastAsia="黑体"/>
          <w:sz w:val="56"/>
          <w:szCs w:val="72"/>
        </w:rPr>
      </w:pPr>
    </w:p>
    <w:p>
      <w:pPr>
        <w:jc w:val="center"/>
        <w:rPr>
          <w:rFonts w:ascii="黑体" w:hAnsi="黑体" w:eastAsia="黑体"/>
          <w:sz w:val="56"/>
          <w:szCs w:val="72"/>
        </w:rPr>
      </w:pPr>
    </w:p>
    <w:p>
      <w:pPr>
        <w:rPr>
          <w:rFonts w:ascii="黑体" w:hAnsi="Times New Roman" w:eastAsia="黑体" w:cs="Times New Roman"/>
          <w:sz w:val="48"/>
          <w:szCs w:val="48"/>
        </w:rPr>
      </w:pPr>
      <w:r>
        <w:rPr>
          <w:rFonts w:hint="eastAsia" w:ascii="黑体" w:hAnsi="Times New Roman" w:eastAsia="黑体" w:cs="Times New Roman"/>
          <w:sz w:val="48"/>
          <w:szCs w:val="48"/>
        </w:rPr>
        <w:br w:type="page"/>
      </w:r>
    </w:p>
    <w:p>
      <w:pPr>
        <w:tabs>
          <w:tab w:val="left" w:pos="2728"/>
        </w:tabs>
        <w:rPr>
          <w:rFonts w:ascii="黑体" w:hAnsi="Times New Roman" w:eastAsia="黑体" w:cs="Times New Roman"/>
          <w:sz w:val="48"/>
          <w:szCs w:val="48"/>
        </w:rPr>
      </w:pPr>
      <w:r>
        <w:rPr>
          <w:rFonts w:hint="eastAsia" w:ascii="黑体" w:hAnsi="Times New Roman" w:eastAsia="黑体" w:cs="Times New Roman"/>
          <w:sz w:val="48"/>
          <w:szCs w:val="48"/>
        </w:rPr>
        <w:tab/>
      </w:r>
    </w:p>
    <w:p>
      <w:pPr>
        <w:rPr>
          <w:rFonts w:ascii="黑体" w:hAnsi="黑体" w:eastAsia="黑体"/>
          <w:sz w:val="56"/>
          <w:szCs w:val="72"/>
        </w:rPr>
      </w:pPr>
    </w:p>
    <w:p>
      <w:pPr>
        <w:rPr>
          <w:rFonts w:ascii="黑体" w:hAnsi="黑体" w:eastAsia="黑体"/>
          <w:b/>
          <w:bCs/>
          <w:sz w:val="72"/>
          <w:szCs w:val="96"/>
        </w:rPr>
      </w:pPr>
      <w:bookmarkStart w:id="0" w:name="_GoBack"/>
      <w:r>
        <w:rPr>
          <w:rFonts w:hint="eastAsia" w:ascii="黑体" w:hAnsi="黑体" w:eastAsia="黑体"/>
          <w:b/>
          <w:bCs/>
          <w:sz w:val="72"/>
          <w:szCs w:val="96"/>
        </w:rPr>
        <w:t>2019年度部门决算公开文本</w:t>
      </w:r>
    </w:p>
    <w:bookmarkEnd w:id="0"/>
    <w:p>
      <w:pPr>
        <w:spacing w:line="360" w:lineRule="auto"/>
        <w:jc w:val="center"/>
        <w:rPr>
          <w:rFonts w:ascii="黑体" w:hAnsi="黑体" w:eastAsia="黑体"/>
          <w:sz w:val="56"/>
          <w:szCs w:val="72"/>
        </w:rPr>
      </w:pPr>
    </w:p>
    <w:p>
      <w:pPr>
        <w:spacing w:line="600" w:lineRule="auto"/>
        <w:jc w:val="center"/>
        <w:rPr>
          <w:rFonts w:ascii="黑体" w:hAnsi="黑体" w:eastAsia="黑体"/>
          <w:sz w:val="56"/>
          <w:szCs w:val="72"/>
        </w:rPr>
      </w:pPr>
    </w:p>
    <w:p>
      <w:pPr>
        <w:spacing w:line="600" w:lineRule="auto"/>
        <w:jc w:val="center"/>
        <w:rPr>
          <w:rFonts w:ascii="黑体" w:hAnsi="黑体" w:eastAsia="黑体"/>
          <w:sz w:val="56"/>
          <w:szCs w:val="72"/>
        </w:rPr>
      </w:pPr>
    </w:p>
    <w:p>
      <w:pPr>
        <w:spacing w:line="600" w:lineRule="auto"/>
        <w:jc w:val="center"/>
        <w:rPr>
          <w:rFonts w:ascii="黑体" w:hAnsi="黑体" w:eastAsia="黑体"/>
          <w:sz w:val="56"/>
          <w:szCs w:val="72"/>
        </w:rPr>
      </w:pPr>
    </w:p>
    <w:p>
      <w:pPr>
        <w:spacing w:line="600" w:lineRule="auto"/>
        <w:jc w:val="center"/>
        <w:rPr>
          <w:rFonts w:ascii="黑体" w:hAnsi="黑体" w:eastAsia="黑体"/>
          <w:sz w:val="56"/>
          <w:szCs w:val="72"/>
        </w:rPr>
      </w:pPr>
    </w:p>
    <w:p>
      <w:pPr>
        <w:spacing w:line="480" w:lineRule="auto"/>
        <w:jc w:val="center"/>
        <w:rPr>
          <w:rFonts w:ascii="黑体" w:hAnsi="黑体" w:eastAsia="黑体"/>
          <w:sz w:val="56"/>
          <w:szCs w:val="72"/>
        </w:rPr>
      </w:pPr>
    </w:p>
    <w:p>
      <w:pPr>
        <w:spacing w:line="480" w:lineRule="auto"/>
        <w:jc w:val="center"/>
        <w:rPr>
          <w:rFonts w:ascii="黑体" w:hAnsi="黑体" w:eastAsia="黑体"/>
          <w:sz w:val="56"/>
          <w:szCs w:val="72"/>
        </w:rPr>
      </w:pPr>
    </w:p>
    <w:p>
      <w:pPr>
        <w:snapToGrid w:val="0"/>
        <w:spacing w:line="480" w:lineRule="auto"/>
        <w:rPr>
          <w:rFonts w:ascii="黑体" w:hAnsi="黑体" w:eastAsia="黑体"/>
          <w:sz w:val="56"/>
          <w:szCs w:val="72"/>
        </w:rPr>
      </w:pPr>
    </w:p>
    <w:p>
      <w:pPr>
        <w:snapToGrid w:val="0"/>
        <w:jc w:val="center"/>
        <w:rPr>
          <w:rFonts w:ascii="楷体_GB2312" w:hAnsi="楷体_GB2312" w:eastAsia="楷体_GB2312" w:cs="楷体_GB2312"/>
          <w:color w:val="000000"/>
          <w:kern w:val="0"/>
          <w:sz w:val="44"/>
          <w:szCs w:val="44"/>
          <w:highlight w:val="yellow"/>
        </w:rPr>
      </w:pPr>
      <w:r>
        <w:rPr>
          <w:rFonts w:hint="eastAsia" w:ascii="楷体_GB2312" w:hAnsi="楷体_GB2312" w:eastAsia="楷体_GB2312" w:cs="楷体_GB2312"/>
          <w:color w:val="000000"/>
          <w:kern w:val="0"/>
          <w:sz w:val="44"/>
          <w:szCs w:val="44"/>
        </w:rPr>
        <w:t>中国共产党永清县纪律检查委员会</w:t>
      </w:r>
    </w:p>
    <w:p>
      <w:pPr>
        <w:snapToGrid w:val="0"/>
        <w:jc w:val="center"/>
        <w:rPr>
          <w:rFonts w:ascii="楷体_GB2312" w:hAnsi="楷体_GB2312" w:eastAsia="楷体_GB2312" w:cs="楷体_GB2312"/>
          <w:color w:val="000000"/>
          <w:kern w:val="0"/>
          <w:sz w:val="44"/>
          <w:szCs w:val="44"/>
        </w:rPr>
        <w:sectPr>
          <w:headerReference r:id="rId10" w:type="first"/>
          <w:footerReference r:id="rId11" w:type="first"/>
          <w:headerReference r:id="rId9" w:type="default"/>
          <w:type w:val="continuous"/>
          <w:pgSz w:w="11906" w:h="16838"/>
          <w:pgMar w:top="2041" w:right="1531" w:bottom="2041" w:left="1531" w:header="851" w:footer="992" w:gutter="0"/>
          <w:cols w:space="0" w:num="1"/>
          <w:titlePg/>
          <w:docGrid w:type="lines" w:linePitch="312" w:charSpace="0"/>
        </w:sectPr>
      </w:pPr>
      <w:r>
        <w:rPr>
          <w:rFonts w:hint="eastAsia" w:ascii="楷体_GB2312" w:hAnsi="楷体_GB2312" w:eastAsia="楷体_GB2312" w:cs="楷体_GB2312"/>
          <w:color w:val="000000"/>
          <w:kern w:val="0"/>
          <w:sz w:val="44"/>
          <w:szCs w:val="44"/>
        </w:rPr>
        <w:t>二0二0年十二月</w:t>
      </w:r>
    </w:p>
    <w:p>
      <w:pPr>
        <w:widowControl/>
        <w:spacing w:line="600" w:lineRule="exact"/>
        <w:jc w:val="left"/>
        <w:rPr>
          <w:rFonts w:ascii="黑体" w:hAnsi="黑体" w:eastAsia="黑体"/>
          <w:bCs/>
          <w:sz w:val="32"/>
          <w:szCs w:val="32"/>
          <w:highlight w:val="yellow"/>
        </w:rPr>
      </w:pPr>
    </w:p>
    <w:p>
      <w:pPr>
        <w:tabs>
          <w:tab w:val="left" w:pos="2728"/>
        </w:tabs>
        <w:jc w:val="center"/>
        <w:rPr>
          <w:rFonts w:ascii="黑体" w:hAnsi="Times New Roman" w:eastAsia="黑体" w:cs="Times New Roman"/>
          <w:sz w:val="48"/>
          <w:szCs w:val="48"/>
        </w:rPr>
      </w:pPr>
    </w:p>
    <w:p>
      <w:pPr>
        <w:tabs>
          <w:tab w:val="left" w:pos="2728"/>
        </w:tabs>
        <w:jc w:val="center"/>
        <w:rPr>
          <w:rFonts w:ascii="黑体" w:hAnsi="Times New Roman" w:eastAsia="黑体" w:cs="Times New Roman"/>
          <w:sz w:val="48"/>
          <w:szCs w:val="48"/>
        </w:rPr>
      </w:pPr>
      <w:r>
        <w:rPr>
          <w:rFonts w:hint="eastAsia" w:ascii="黑体" w:hAnsi="Times New Roman" w:eastAsia="黑体" w:cs="Times New Roman"/>
          <w:sz w:val="48"/>
          <w:szCs w:val="48"/>
        </w:rPr>
        <w:t>目    录</w:t>
      </w: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仿宋_GB2312" w:cs="Times New Roman"/>
          <w:sz w:val="24"/>
          <w:szCs w:val="32"/>
        </w:rPr>
      </w:pPr>
      <w:r>
        <w:rPr>
          <w:rFonts w:ascii="Times New Roman" w:hAnsi="Times New Roman" w:eastAsia="黑体" w:cs="Times New Roman"/>
          <w:sz w:val="32"/>
          <w:szCs w:val="32"/>
        </w:rPr>
        <w:t>第一部分   部门概况</w:t>
      </w:r>
    </w:p>
    <w:p>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一、部门</w:t>
      </w:r>
      <w:r>
        <w:rPr>
          <w:rFonts w:hint="eastAsia" w:ascii="Times New Roman" w:hAnsi="Times New Roman" w:eastAsia="仿宋_GB2312" w:cs="Times New Roman"/>
          <w:sz w:val="32"/>
          <w:szCs w:val="32"/>
        </w:rPr>
        <w:t>职责</w:t>
      </w:r>
    </w:p>
    <w:p>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rPr>
        <w:t>机构设置</w:t>
      </w:r>
    </w:p>
    <w:p>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第二部分   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年部门决算情况说明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一、收入支出决算总体情况说明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二、收入决算情况说明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三、支出决算情况说明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四、财政拨款收入支出决算总体情况说明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w:t>
      </w:r>
      <w:r>
        <w:rPr>
          <w:rFonts w:ascii="Times New Roman" w:hAnsi="Times New Roman" w:eastAsia="仿宋_GB2312" w:cs="Times New Roman"/>
          <w:sz w:val="32"/>
          <w:szCs w:val="32"/>
        </w:rPr>
        <w:t>“三公”经费支出决算情况说明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、其他重要事项的说明</w:t>
      </w:r>
    </w:p>
    <w:p>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第三部分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名词解释</w:t>
      </w:r>
    </w:p>
    <w:p>
      <w:pPr>
        <w:widowControl/>
        <w:spacing w:after="160" w:line="580" w:lineRule="exact"/>
        <w:ind w:firstLine="640" w:firstLineChars="200"/>
        <w:rPr>
          <w:rFonts w:ascii="Times New Roman" w:hAnsi="Times New Roman" w:eastAsia="仿宋_GB2312" w:cs="Times New Roman"/>
          <w:sz w:val="20"/>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四</w:t>
      </w:r>
      <w:r>
        <w:rPr>
          <w:rFonts w:ascii="Times New Roman" w:hAnsi="Times New Roman" w:eastAsia="黑体" w:cs="Times New Roman"/>
          <w:sz w:val="32"/>
          <w:szCs w:val="32"/>
        </w:rPr>
        <w:t>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年度部门决算报表</w:t>
      </w:r>
    </w:p>
    <w:p>
      <w:pPr>
        <w:widowControl/>
        <w:spacing w:after="160" w:line="58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w:t>
      </w:r>
      <w:r>
        <w:rPr>
          <w:rFonts w:ascii="Times New Roman" w:hAnsi="Times New Roman" w:eastAsia="黑体" w:cs="Times New Roman"/>
          <w:sz w:val="32"/>
          <w:szCs w:val="32"/>
        </w:rPr>
        <w:t>五部分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rPr>
        <w:t>预算</w:t>
      </w:r>
      <w:r>
        <w:rPr>
          <w:rFonts w:ascii="Times New Roman" w:hAnsi="Times New Roman" w:eastAsia="黑体" w:cs="Times New Roman"/>
          <w:sz w:val="32"/>
          <w:szCs w:val="32"/>
        </w:rPr>
        <w:t>绩效</w:t>
      </w:r>
      <w:r>
        <w:rPr>
          <w:rFonts w:hint="eastAsia" w:ascii="Times New Roman" w:hAnsi="Times New Roman" w:eastAsia="黑体" w:cs="Times New Roman"/>
          <w:sz w:val="32"/>
          <w:szCs w:val="32"/>
        </w:rPr>
        <w:t>公开</w:t>
      </w:r>
      <w:r>
        <w:rPr>
          <w:rFonts w:ascii="Times New Roman" w:hAnsi="Times New Roman" w:eastAsia="黑体" w:cs="Times New Roman"/>
          <w:sz w:val="32"/>
          <w:szCs w:val="32"/>
        </w:rPr>
        <w:t>内容</w:t>
      </w:r>
    </w:p>
    <w:p>
      <w:pPr>
        <w:pStyle w:val="13"/>
        <w:widowControl/>
        <w:numPr>
          <w:ilvl w:val="0"/>
          <w:numId w:val="1"/>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绩效情况说明</w:t>
      </w:r>
    </w:p>
    <w:p>
      <w:pPr>
        <w:pStyle w:val="13"/>
        <w:widowControl/>
        <w:numPr>
          <w:ilvl w:val="0"/>
          <w:numId w:val="1"/>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绩效公开表格</w:t>
      </w:r>
    </w:p>
    <w:p>
      <w:pPr>
        <w:pStyle w:val="13"/>
        <w:widowControl/>
        <w:numPr>
          <w:ilvl w:val="0"/>
          <w:numId w:val="2"/>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项目</w:t>
      </w:r>
      <w:r>
        <w:rPr>
          <w:rFonts w:ascii="Times New Roman" w:hAnsi="Times New Roman" w:eastAsia="仿宋_GB2312" w:cs="Times New Roman"/>
          <w:sz w:val="32"/>
          <w:szCs w:val="32"/>
        </w:rPr>
        <w:t>绩效自评表</w:t>
      </w:r>
    </w:p>
    <w:p>
      <w:pPr>
        <w:pStyle w:val="13"/>
        <w:widowControl/>
        <w:numPr>
          <w:ilvl w:val="0"/>
          <w:numId w:val="2"/>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单位</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整体</w:t>
      </w:r>
      <w:r>
        <w:rPr>
          <w:rFonts w:ascii="Times New Roman" w:hAnsi="Times New Roman" w:eastAsia="仿宋_GB2312" w:cs="Times New Roman"/>
          <w:sz w:val="32"/>
          <w:szCs w:val="32"/>
        </w:rPr>
        <w:t>绩效自评表</w:t>
      </w: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pPr>
    </w:p>
    <w:p>
      <w:pPr>
        <w:widowControl/>
        <w:spacing w:after="160" w:line="580" w:lineRule="exact"/>
        <w:rPr>
          <w:rFonts w:ascii="Times New Roman" w:hAnsi="Times New Roman" w:eastAsia="黑体" w:cs="Times New Roman"/>
          <w:sz w:val="32"/>
          <w:szCs w:val="32"/>
        </w:rPr>
        <w:sectPr>
          <w:headerReference r:id="rId13" w:type="first"/>
          <w:footerReference r:id="rId15" w:type="first"/>
          <w:headerReference r:id="rId12" w:type="default"/>
          <w:footerReference r:id="rId14" w:type="default"/>
          <w:type w:val="continuous"/>
          <w:pgSz w:w="11906" w:h="16838"/>
          <w:pgMar w:top="2041" w:right="1531" w:bottom="2041" w:left="1531" w:header="851" w:footer="992" w:gutter="0"/>
          <w:cols w:space="0" w:num="1"/>
          <w:titlePg/>
          <w:docGrid w:type="lines" w:linePitch="312" w:charSpace="0"/>
        </w:sect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r>
        <w:rPr>
          <w:sz w:val="72"/>
        </w:rPr>
        <mc:AlternateContent>
          <mc:Choice Requires="wps">
            <w:drawing>
              <wp:anchor distT="0" distB="0" distL="114300" distR="114300" simplePos="0" relativeHeight="251666432" behindDoc="0" locked="0" layoutInCell="1" allowOverlap="1">
                <wp:simplePos x="0" y="0"/>
                <wp:positionH relativeFrom="column">
                  <wp:posOffset>-1088390</wp:posOffset>
                </wp:positionH>
                <wp:positionV relativeFrom="paragraph">
                  <wp:posOffset>1024890</wp:posOffset>
                </wp:positionV>
                <wp:extent cx="7793355" cy="3341370"/>
                <wp:effectExtent l="6350" t="6350" r="10795" b="24130"/>
                <wp:wrapNone/>
                <wp:docPr id="12" name="文本框 143"/>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rgbClr val="FFFFFF"/>
                          </a:bgClr>
                        </a:pattFill>
                        <a:ln w="12700" cap="flat" cmpd="sng">
                          <a:solidFill>
                            <a:srgbClr val="FFD966"/>
                          </a:solidFill>
                          <a:prstDash val="solid"/>
                          <a:miter/>
                          <a:headEnd type="none" w="med" len="med"/>
                          <a:tailEnd type="none" w="med" len="med"/>
                        </a:ln>
                      </wps:spPr>
                      <wps:txbx>
                        <w:txbxContent>
                          <w:p>
                            <w:pPr>
                              <w:widowControl/>
                              <w:jc w:val="center"/>
                              <w:rPr>
                                <w:rFonts w:ascii="黑体" w:hAnsi="黑体" w:eastAsia="黑体"/>
                                <w:color w:val="000000"/>
                                <w:sz w:val="96"/>
                                <w:szCs w:val="96"/>
                              </w:rPr>
                            </w:pPr>
                            <w:r>
                              <w:rPr>
                                <w:rFonts w:hint="eastAsia" w:ascii="黑体" w:hAnsi="黑体" w:eastAsia="黑体"/>
                                <w:color w:val="000000"/>
                                <w:sz w:val="96"/>
                                <w:szCs w:val="96"/>
                              </w:rPr>
                              <w:t>第一部分  部门概况</w:t>
                            </w:r>
                          </w:p>
                        </w:txbxContent>
                      </wps:txbx>
                      <wps:bodyPr anchor="ctr" anchorCtr="0" upright="1"/>
                    </wps:wsp>
                  </a:graphicData>
                </a:graphic>
              </wp:anchor>
            </w:drawing>
          </mc:Choice>
          <mc:Fallback>
            <w:pict>
              <v:shape id="文本框 143" o:spid="_x0000_s1026" o:spt="202" type="#_x0000_t202" style="position:absolute;left:0pt;margin-left:-85.7pt;margin-top:80.7pt;height:263.1pt;width:613.65pt;z-index:251666432;v-text-anchor:middle;mso-width-relative:page;mso-height-relative:page;" fillcolor="#FFD966" filled="t" stroked="t" coordsize="21600,21600" o:gfxdata="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R2EzKdwAAAANAQAADwAAAAAAAAABACAAAAAiAAAA&#10;ZHJzL2Rvd25yZXYueG1sUEsBAhQAFAAAAAgAh07iQIt1UEc8AgAAnwQAAA4AAAAAAAAAAQAgAAAA&#10;KwEAAGRycy9lMm9Eb2MueG1sUEsFBgAAAAAGAAYAWQEAANkFAAAAAA==&#10;">
                <v:fill type="pattern" on="t" color2="#FFFFFF" o:title="5%" focussize="0,0" r:id="rId28"/>
                <v:stroke weight="1pt" color="#FFD966" joinstyle="miter"/>
                <v:imagedata o:title=""/>
                <o:lock v:ext="edit" aspectratio="f"/>
                <v:textbox>
                  <w:txbxContent>
                    <w:p>
                      <w:pPr>
                        <w:widowControl/>
                        <w:jc w:val="center"/>
                        <w:rPr>
                          <w:rFonts w:ascii="黑体" w:hAnsi="黑体" w:eastAsia="黑体"/>
                          <w:color w:val="000000"/>
                          <w:sz w:val="96"/>
                          <w:szCs w:val="96"/>
                        </w:rPr>
                      </w:pPr>
                      <w:r>
                        <w:rPr>
                          <w:rFonts w:hint="eastAsia" w:ascii="黑体" w:hAnsi="黑体" w:eastAsia="黑体"/>
                          <w:color w:val="000000"/>
                          <w:sz w:val="96"/>
                          <w:szCs w:val="96"/>
                        </w:rPr>
                        <w:t>第一部分  部门概况</w:t>
                      </w:r>
                    </w:p>
                  </w:txbxContent>
                </v:textbox>
              </v:shape>
            </w:pict>
          </mc:Fallback>
        </mc:AlternateContent>
      </w:r>
      <w:r>
        <w:br w:type="page"/>
      </w:r>
    </w:p>
    <w:p>
      <w:pPr>
        <w:pStyle w:val="2"/>
        <w:spacing w:before="0" w:after="0" w:line="580" w:lineRule="exact"/>
        <w:ind w:firstLine="640" w:firstLineChars="200"/>
        <w:jc w:val="left"/>
        <w:rPr>
          <w:rFonts w:ascii="黑体" w:eastAsia="黑体"/>
          <w:b w:val="0"/>
          <w:bCs w:val="0"/>
          <w:kern w:val="0"/>
          <w:sz w:val="32"/>
          <w:szCs w:val="32"/>
        </w:rPr>
      </w:pPr>
      <w:r>
        <w:rPr>
          <w:rFonts w:hint="eastAsia" w:ascii="黑体" w:eastAsia="黑体"/>
          <w:b w:val="0"/>
          <w:bCs w:val="0"/>
          <w:kern w:val="0"/>
          <w:sz w:val="32"/>
          <w:szCs w:val="32"/>
        </w:rPr>
        <w:t>一、部门职责</w:t>
      </w:r>
    </w:p>
    <w:p>
      <w:pPr>
        <w:ind w:firstLine="482" w:firstLineChars="150"/>
        <w:rPr>
          <w:rFonts w:ascii="仿宋" w:hAnsi="仿宋" w:eastAsia="仿宋"/>
          <w:b/>
          <w:sz w:val="32"/>
          <w:szCs w:val="32"/>
        </w:rPr>
      </w:pPr>
      <w:r>
        <w:rPr>
          <w:rFonts w:hint="eastAsia" w:ascii="仿宋" w:hAnsi="仿宋" w:eastAsia="仿宋"/>
          <w:b/>
          <w:sz w:val="32"/>
          <w:szCs w:val="32"/>
        </w:rPr>
        <w:t>纪委监委主要职责</w:t>
      </w:r>
    </w:p>
    <w:p>
      <w:pPr>
        <w:ind w:firstLine="640" w:firstLineChars="200"/>
        <w:rPr>
          <w:rFonts w:ascii="仿宋" w:hAnsi="仿宋" w:eastAsia="仿宋"/>
          <w:sz w:val="32"/>
          <w:szCs w:val="32"/>
        </w:rPr>
      </w:pPr>
      <w:r>
        <w:rPr>
          <w:rFonts w:hint="eastAsia" w:ascii="仿宋" w:hAnsi="仿宋" w:eastAsia="仿宋"/>
          <w:sz w:val="32"/>
          <w:szCs w:val="32"/>
        </w:rPr>
        <w:t>1、负责全县党的纪律检查工作。贯彻落实党中央、省委、市委和县委关于纪律检查工作的决策部署，维护党的章程和其他党内法规，检查党的路线方针政策和决议的执行情况，协助县委推进全面从严治党、加强党风建设和组织协调反腐败工作。</w:t>
      </w:r>
    </w:p>
    <w:p>
      <w:pPr>
        <w:ind w:firstLine="640" w:firstLineChars="200"/>
        <w:rPr>
          <w:rFonts w:ascii="仿宋" w:hAnsi="仿宋" w:eastAsia="仿宋"/>
          <w:sz w:val="32"/>
          <w:szCs w:val="32"/>
        </w:rPr>
      </w:pPr>
      <w:r>
        <w:rPr>
          <w:rFonts w:hint="eastAsia" w:ascii="仿宋" w:hAnsi="仿宋" w:eastAsia="仿宋"/>
          <w:sz w:val="32"/>
          <w:szCs w:val="32"/>
        </w:rPr>
        <w:t>2、依照党的章程和其他党内法规履行监督、执纪、问责职责。负责经常对党员进行遵守纪律的教育，作出关于维护党纪的决定；对县委工作机关、县委批准设立的党组（党委），各乡镇（区）党委（党工委）、纪委（纪工委）等党的组织和县委管理的党员领导干部履行职责、行使权力进行监督，受理处置党员群众检举举报，开展谈话提醒、约谈函询；检查和处理上述党的组织和党员违反党的章程和其他党内法规的比较重要或者复杂的案件，决定或者取消对这些案件中的党员的处分；进行问责或者提出责任追究的建议；受理党员的控告和申诉；保障党员的权利。</w:t>
      </w:r>
    </w:p>
    <w:p>
      <w:pPr>
        <w:ind w:firstLine="640" w:firstLineChars="200"/>
        <w:rPr>
          <w:rFonts w:ascii="仿宋" w:hAnsi="仿宋" w:eastAsia="仿宋"/>
          <w:sz w:val="32"/>
          <w:szCs w:val="32"/>
        </w:rPr>
      </w:pPr>
      <w:r>
        <w:rPr>
          <w:rFonts w:hint="eastAsia" w:ascii="仿宋" w:hAnsi="仿宋" w:eastAsia="仿宋"/>
          <w:sz w:val="32"/>
          <w:szCs w:val="32"/>
        </w:rPr>
        <w:t>3、支持配合巡视巡察工作。承担巡察整改日常监督责任，做好巡察整改督查督办工作，依规依纪依法处置巡视巡察移交的反映领导干部问题线索。</w:t>
      </w:r>
    </w:p>
    <w:p>
      <w:pPr>
        <w:ind w:firstLine="640" w:firstLineChars="200"/>
        <w:rPr>
          <w:rFonts w:ascii="仿宋" w:hAnsi="仿宋" w:eastAsia="仿宋"/>
          <w:sz w:val="32"/>
          <w:szCs w:val="32"/>
        </w:rPr>
      </w:pPr>
      <w:r>
        <w:rPr>
          <w:rFonts w:hint="eastAsia" w:ascii="仿宋" w:hAnsi="仿宋" w:eastAsia="仿宋"/>
          <w:sz w:val="32"/>
          <w:szCs w:val="32"/>
        </w:rPr>
        <w:t>4、负责全县监察工作。贯彻落实党中央、省委、市委和县委关于监察工作的决策部署，维护宪法法律，依法对县委管理的行使公权力的公职人员进行监察，调查职务违法和职务犯罪，开展廉政建设和反腐败工作。</w:t>
      </w:r>
    </w:p>
    <w:p>
      <w:pPr>
        <w:ind w:firstLine="640" w:firstLineChars="200"/>
        <w:rPr>
          <w:rFonts w:ascii="仿宋" w:hAnsi="仿宋" w:eastAsia="仿宋"/>
          <w:sz w:val="32"/>
          <w:szCs w:val="32"/>
        </w:rPr>
      </w:pPr>
      <w:r>
        <w:rPr>
          <w:rFonts w:hint="eastAsia" w:ascii="仿宋" w:hAnsi="仿宋" w:eastAsia="仿宋"/>
          <w:sz w:val="32"/>
          <w:szCs w:val="32"/>
        </w:rPr>
        <w:t>5、依照法律规定履行监督、调查、处置职责。推动开展廉政教育，对县委管理的行使公权力的公职人员依法履职、秉公用权、廉洁从政从业以及道德操守情况进行监督检查；对涉嫌贪污贿赂、滥用职权、玩忽职守、权力寻租、利益输送、徇私舞弊以及浪费国家资财等职务违法和职务犯罪进行调查；对违法的公职人员依法作出政务处分决定；对履行职责不力、失职失责的领导人员进行问责；对涉嫌职务犯罪的，将调查结果移送人民检察院依法审查、提起公诉；向监察对象所在单位提出监察建议。</w:t>
      </w:r>
    </w:p>
    <w:p>
      <w:pPr>
        <w:ind w:firstLine="640" w:firstLineChars="200"/>
        <w:rPr>
          <w:rFonts w:ascii="仿宋" w:hAnsi="仿宋" w:eastAsia="仿宋"/>
          <w:sz w:val="32"/>
          <w:szCs w:val="32"/>
        </w:rPr>
      </w:pPr>
      <w:r>
        <w:rPr>
          <w:rFonts w:hint="eastAsia" w:ascii="仿宋" w:hAnsi="仿宋" w:eastAsia="仿宋"/>
          <w:sz w:val="32"/>
          <w:szCs w:val="32"/>
        </w:rPr>
        <w:t>6、负责组织协调全面从严治党、党风廉政建设和反腐败宣传教育工作，组织开展职务犯罪预防工作。</w:t>
      </w:r>
    </w:p>
    <w:p>
      <w:pPr>
        <w:ind w:firstLine="640" w:firstLineChars="200"/>
        <w:rPr>
          <w:rFonts w:ascii="仿宋" w:hAnsi="仿宋" w:eastAsia="仿宋"/>
          <w:sz w:val="32"/>
          <w:szCs w:val="32"/>
        </w:rPr>
      </w:pPr>
      <w:r>
        <w:rPr>
          <w:rFonts w:hint="eastAsia" w:ascii="仿宋" w:hAnsi="仿宋" w:eastAsia="仿宋"/>
          <w:sz w:val="32"/>
          <w:szCs w:val="32"/>
        </w:rPr>
        <w:t>7、负责综合分析全面从严治党、党风廉政建设和反腐败工作情况，对纪检监察工作重要理论及实践问题进行调查研究；制定或者修改全县纪检监察有关制度，参与起草有关规范性文件。</w:t>
      </w:r>
    </w:p>
    <w:p>
      <w:pPr>
        <w:ind w:firstLine="640" w:firstLineChars="200"/>
        <w:rPr>
          <w:rFonts w:ascii="仿宋" w:hAnsi="仿宋" w:eastAsia="仿宋"/>
          <w:sz w:val="32"/>
          <w:szCs w:val="32"/>
        </w:rPr>
      </w:pPr>
      <w:r>
        <w:rPr>
          <w:rFonts w:hint="eastAsia" w:ascii="仿宋" w:hAnsi="仿宋" w:eastAsia="仿宋"/>
          <w:sz w:val="32"/>
          <w:szCs w:val="32"/>
        </w:rPr>
        <w:t>8、负责组织协调全县反腐败追逃追赃和防逃工作，督促有关单位做好相关工作。</w:t>
      </w:r>
    </w:p>
    <w:p>
      <w:pPr>
        <w:ind w:firstLine="640" w:firstLineChars="200"/>
        <w:rPr>
          <w:rFonts w:ascii="仿宋" w:hAnsi="仿宋" w:eastAsia="仿宋"/>
          <w:sz w:val="32"/>
          <w:szCs w:val="32"/>
        </w:rPr>
      </w:pPr>
      <w:r>
        <w:rPr>
          <w:rFonts w:hint="eastAsia" w:ascii="仿宋" w:hAnsi="仿宋" w:eastAsia="仿宋"/>
          <w:sz w:val="32"/>
          <w:szCs w:val="32"/>
        </w:rPr>
        <w:t>9、根据干部管理权限，负责全县纪检监察系统领导班子建设、干部队伍建设和组织建设的综合规划、政策研究、制度建设和业务指导；会同县委组织部负责县委巡察办的科级干部提名、考察，报县委任免；根据干部管理权限负责县委巡察办股级及以下干部人事工作。会同有关方面做好县纪委监委派驻（派出）机构、乡镇（区）纪检监察机关、县管企业和县属学校、医院纪检监察机构领导班子建设有关工作；组织和指导全县纪检监察系统干部教育培训工作等。</w:t>
      </w:r>
    </w:p>
    <w:p>
      <w:pPr>
        <w:ind w:firstLine="640" w:firstLineChars="200"/>
        <w:rPr>
          <w:rFonts w:ascii="仿宋" w:hAnsi="仿宋" w:eastAsia="仿宋"/>
          <w:sz w:val="32"/>
          <w:szCs w:val="32"/>
        </w:rPr>
      </w:pPr>
      <w:r>
        <w:rPr>
          <w:rFonts w:hint="eastAsia" w:ascii="仿宋" w:hAnsi="仿宋" w:eastAsia="仿宋"/>
          <w:sz w:val="32"/>
          <w:szCs w:val="32"/>
        </w:rPr>
        <w:t>10完成市纪委、市监委、县委交办的其他任务。</w:t>
      </w:r>
    </w:p>
    <w:p>
      <w:pPr>
        <w:ind w:firstLine="643" w:firstLineChars="200"/>
        <w:rPr>
          <w:rFonts w:ascii="仿宋" w:hAnsi="仿宋" w:eastAsia="仿宋"/>
          <w:b/>
          <w:sz w:val="32"/>
          <w:szCs w:val="32"/>
        </w:rPr>
      </w:pPr>
      <w:r>
        <w:rPr>
          <w:rFonts w:hint="eastAsia" w:ascii="仿宋" w:hAnsi="仿宋" w:eastAsia="仿宋"/>
          <w:b/>
          <w:sz w:val="32"/>
          <w:szCs w:val="32"/>
        </w:rPr>
        <w:t>巡察机构主要职责</w:t>
      </w:r>
    </w:p>
    <w:p>
      <w:pPr>
        <w:ind w:firstLine="640" w:firstLineChars="200"/>
        <w:rPr>
          <w:rFonts w:ascii="仿宋" w:hAnsi="仿宋" w:eastAsia="仿宋"/>
          <w:sz w:val="32"/>
          <w:szCs w:val="32"/>
        </w:rPr>
      </w:pPr>
      <w:r>
        <w:rPr>
          <w:rFonts w:hint="eastAsia" w:ascii="仿宋" w:hAnsi="仿宋" w:eastAsia="仿宋"/>
          <w:sz w:val="32"/>
          <w:szCs w:val="32"/>
        </w:rPr>
        <w:t>县委巡察办的主要职责是：</w:t>
      </w:r>
    </w:p>
    <w:p>
      <w:pPr>
        <w:ind w:firstLine="640" w:firstLineChars="200"/>
        <w:rPr>
          <w:rFonts w:ascii="仿宋" w:hAnsi="仿宋" w:eastAsia="仿宋"/>
          <w:sz w:val="32"/>
          <w:szCs w:val="32"/>
        </w:rPr>
      </w:pPr>
      <w:r>
        <w:rPr>
          <w:rFonts w:hint="eastAsia" w:ascii="仿宋" w:hAnsi="仿宋" w:eastAsia="仿宋"/>
          <w:sz w:val="32"/>
          <w:szCs w:val="32"/>
        </w:rPr>
        <w:t>（一）贯彻落实党中央、省委、市委、县委和县委巡察工作领导小组的决策部署，向市委巡察工作领导小组办公室和县委巡察工作领导小组报告工作情况。</w:t>
      </w:r>
    </w:p>
    <w:p>
      <w:pPr>
        <w:ind w:firstLine="640" w:firstLineChars="200"/>
        <w:rPr>
          <w:rFonts w:ascii="仿宋" w:hAnsi="仿宋" w:eastAsia="仿宋"/>
          <w:sz w:val="32"/>
          <w:szCs w:val="32"/>
        </w:rPr>
      </w:pPr>
      <w:r>
        <w:rPr>
          <w:rFonts w:hint="eastAsia" w:ascii="仿宋" w:hAnsi="仿宋" w:eastAsia="仿宋"/>
          <w:sz w:val="32"/>
          <w:szCs w:val="32"/>
        </w:rPr>
        <w:t>（二）统筹、协调、指导开展巡察工作。</w:t>
      </w:r>
    </w:p>
    <w:p>
      <w:pPr>
        <w:ind w:firstLine="640" w:firstLineChars="200"/>
        <w:rPr>
          <w:rFonts w:ascii="仿宋" w:hAnsi="仿宋" w:eastAsia="仿宋"/>
          <w:sz w:val="32"/>
          <w:szCs w:val="32"/>
        </w:rPr>
      </w:pPr>
      <w:r>
        <w:rPr>
          <w:rFonts w:hint="eastAsia" w:ascii="仿宋" w:hAnsi="仿宋" w:eastAsia="仿宋"/>
          <w:sz w:val="32"/>
          <w:szCs w:val="32"/>
        </w:rPr>
        <w:t>（三）承担政策研究、制度建设等工作。</w:t>
      </w:r>
    </w:p>
    <w:p>
      <w:pPr>
        <w:ind w:firstLine="640" w:firstLineChars="200"/>
        <w:rPr>
          <w:rFonts w:ascii="仿宋" w:hAnsi="仿宋" w:eastAsia="仿宋"/>
          <w:sz w:val="32"/>
          <w:szCs w:val="32"/>
        </w:rPr>
      </w:pPr>
      <w:r>
        <w:rPr>
          <w:rFonts w:hint="eastAsia" w:ascii="仿宋" w:hAnsi="仿宋" w:eastAsia="仿宋"/>
          <w:sz w:val="32"/>
          <w:szCs w:val="32"/>
        </w:rPr>
        <w:t>（四）对县委、县委巡察工作领导小组决定的事项进行督办，会同巡察组对巡察整改工作进行专项检查。</w:t>
      </w:r>
    </w:p>
    <w:p>
      <w:pPr>
        <w:ind w:firstLine="640" w:firstLineChars="200"/>
        <w:rPr>
          <w:rFonts w:ascii="仿宋" w:hAnsi="仿宋" w:eastAsia="仿宋"/>
          <w:sz w:val="32"/>
          <w:szCs w:val="32"/>
        </w:rPr>
      </w:pPr>
      <w:r>
        <w:rPr>
          <w:rFonts w:hint="eastAsia" w:ascii="仿宋" w:hAnsi="仿宋" w:eastAsia="仿宋"/>
          <w:sz w:val="32"/>
          <w:szCs w:val="32"/>
        </w:rPr>
        <w:t>（五）配合有关部门对巡察工作人员进行培训、考核、监督和管理。</w:t>
      </w:r>
    </w:p>
    <w:p>
      <w:pPr>
        <w:ind w:firstLine="640" w:firstLineChars="200"/>
        <w:rPr>
          <w:rFonts w:ascii="仿宋" w:hAnsi="仿宋" w:eastAsia="仿宋"/>
          <w:sz w:val="32"/>
          <w:szCs w:val="32"/>
        </w:rPr>
      </w:pPr>
      <w:r>
        <w:rPr>
          <w:rFonts w:hint="eastAsia" w:ascii="仿宋" w:hAnsi="仿宋" w:eastAsia="仿宋"/>
          <w:sz w:val="32"/>
          <w:szCs w:val="32"/>
        </w:rPr>
        <w:t>（六）管理巡察工作专项经费。</w:t>
      </w:r>
    </w:p>
    <w:p>
      <w:pPr>
        <w:ind w:firstLine="640" w:firstLineChars="200"/>
        <w:rPr>
          <w:rFonts w:ascii="仿宋" w:hAnsi="仿宋" w:eastAsia="仿宋"/>
          <w:sz w:val="32"/>
          <w:szCs w:val="32"/>
        </w:rPr>
      </w:pPr>
      <w:r>
        <w:rPr>
          <w:rFonts w:hint="eastAsia" w:ascii="仿宋" w:hAnsi="仿宋" w:eastAsia="仿宋"/>
          <w:sz w:val="32"/>
          <w:szCs w:val="32"/>
        </w:rPr>
        <w:t>（七）完成市委巡察工作领导小组办公室和县委巡察工作领导小组交办的其他任务。</w:t>
      </w:r>
    </w:p>
    <w:p>
      <w:pPr>
        <w:ind w:firstLine="640" w:firstLineChars="200"/>
        <w:rPr>
          <w:rFonts w:ascii="仿宋" w:hAnsi="仿宋" w:eastAsia="仿宋"/>
          <w:sz w:val="32"/>
          <w:szCs w:val="32"/>
        </w:rPr>
      </w:pPr>
      <w:r>
        <w:rPr>
          <w:rFonts w:hint="eastAsia" w:ascii="仿宋" w:hAnsi="仿宋" w:eastAsia="仿宋"/>
          <w:sz w:val="32"/>
          <w:szCs w:val="32"/>
        </w:rPr>
        <w:t>县委第一至第四巡察组的主要职责是：</w:t>
      </w:r>
    </w:p>
    <w:p>
      <w:pPr>
        <w:ind w:firstLine="640" w:firstLineChars="200"/>
        <w:rPr>
          <w:rFonts w:ascii="仿宋" w:hAnsi="仿宋" w:eastAsia="仿宋"/>
          <w:sz w:val="32"/>
          <w:szCs w:val="32"/>
        </w:rPr>
      </w:pPr>
      <w:r>
        <w:rPr>
          <w:rFonts w:hint="eastAsia" w:ascii="仿宋" w:hAnsi="仿宋" w:eastAsia="仿宋"/>
          <w:sz w:val="32"/>
          <w:szCs w:val="32"/>
        </w:rPr>
        <w:t>对所辖乡（科）级及以下地方、单位党组织领导班子及其成员进行巡察监督。常规巡察着力发现违反“六项纪律”方面的问题和线索，专项巡察重点发现以权谋私、作风不实、侵害群众利益等方面存在的突出问题；报告巡察情况，包括巡察情况的全面报告、巡察期间的阶段性报告、巡察过程中的重大情况报告、普遍性倾向性问题的专题报告等；巡察工作结束后，经批准，及时向被巡察党组织及其主要负责人反馈巡察情况，并会同巡察办督促其认真抓好整改落实；对派出巡察组的党组织决定的事项及时分类移交，会同巡察办做好跟踪督办工作；办理巡察工作领导小组交办的其他事项；负责本巡察组干部日常管理和监督，承办领导交办的其他事项。</w:t>
      </w:r>
    </w:p>
    <w:p>
      <w:pPr>
        <w:keepNext/>
        <w:keepLines/>
        <w:spacing w:line="580" w:lineRule="exact"/>
        <w:ind w:firstLine="640" w:firstLineChars="200"/>
        <w:jc w:val="left"/>
        <w:outlineLvl w:val="0"/>
        <w:rPr>
          <w:rFonts w:ascii="黑体" w:hAnsi="Calibri" w:eastAsia="黑体"/>
          <w:kern w:val="0"/>
          <w:sz w:val="32"/>
          <w:szCs w:val="32"/>
        </w:rPr>
      </w:pPr>
      <w:r>
        <w:rPr>
          <w:rFonts w:hint="eastAsia" w:ascii="黑体" w:hAnsi="Calibri" w:eastAsia="黑体"/>
          <w:kern w:val="0"/>
          <w:sz w:val="32"/>
          <w:szCs w:val="32"/>
        </w:rPr>
        <w:t>二、机构设置</w:t>
      </w:r>
    </w:p>
    <w:p>
      <w:pPr>
        <w:spacing w:line="580" w:lineRule="exact"/>
        <w:ind w:firstLine="640" w:firstLineChars="200"/>
        <w:rPr>
          <w:rFonts w:ascii="仿宋_GB2312" w:hAnsi="Calibri" w:eastAsia="仿宋_GB2312" w:cs="ArialUnicodeMS"/>
          <w:kern w:val="0"/>
          <w:sz w:val="32"/>
          <w:szCs w:val="32"/>
        </w:rPr>
      </w:pPr>
      <w:r>
        <w:rPr>
          <w:rFonts w:hint="eastAsia" w:ascii="仿宋_GB2312" w:hAnsi="Calibri" w:eastAsia="仿宋_GB2312" w:cs="ArialUnicodeMS"/>
          <w:kern w:val="0"/>
          <w:sz w:val="32"/>
          <w:szCs w:val="32"/>
        </w:rPr>
        <w:t>从决算编报单位构成看，纳入2019 年度本部门决算汇编范围的独立核算单位（以下简称“单位”）共</w:t>
      </w:r>
      <w:r>
        <w:rPr>
          <w:rFonts w:eastAsia="仿宋_GB2312" w:cs="ArialUnicodeMS"/>
          <w:kern w:val="0"/>
          <w:sz w:val="32"/>
          <w:szCs w:val="32"/>
        </w:rPr>
        <w:t>1</w:t>
      </w:r>
      <w:r>
        <w:rPr>
          <w:rFonts w:hint="eastAsia" w:ascii="仿宋_GB2312" w:hAnsi="Calibri" w:eastAsia="仿宋_GB2312" w:cs="ArialUnicodeMS"/>
          <w:kern w:val="0"/>
          <w:sz w:val="32"/>
          <w:szCs w:val="32"/>
        </w:rPr>
        <w:t xml:space="preserve"> 个，具体情况如下：</w:t>
      </w:r>
    </w:p>
    <w:tbl>
      <w:tblPr>
        <w:tblStyle w:val="10"/>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3485"/>
        <w:gridCol w:w="2445"/>
        <w:gridCol w:w="2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85"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序号</w:t>
            </w:r>
          </w:p>
        </w:tc>
        <w:tc>
          <w:tcPr>
            <w:tcW w:w="3485"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单位名称</w:t>
            </w:r>
          </w:p>
        </w:tc>
        <w:tc>
          <w:tcPr>
            <w:tcW w:w="2445"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单位基本性质</w:t>
            </w:r>
          </w:p>
        </w:tc>
        <w:tc>
          <w:tcPr>
            <w:tcW w:w="2665"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经费形式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vAlign w:val="center"/>
          </w:tcPr>
          <w:p>
            <w:pPr>
              <w:spacing w:line="560" w:lineRule="exact"/>
              <w:jc w:val="center"/>
              <w:rPr>
                <w:rFonts w:ascii="宋体" w:hAnsi="宋体" w:cs="宋体"/>
                <w:kern w:val="0"/>
                <w:sz w:val="28"/>
                <w:szCs w:val="28"/>
              </w:rPr>
            </w:pPr>
            <w:r>
              <w:rPr>
                <w:rFonts w:ascii="宋体" w:hAnsi="宋体" w:cs="宋体"/>
                <w:kern w:val="0"/>
                <w:sz w:val="28"/>
                <w:szCs w:val="28"/>
              </w:rPr>
              <w:t>1</w:t>
            </w:r>
          </w:p>
        </w:tc>
        <w:tc>
          <w:tcPr>
            <w:tcW w:w="3485" w:type="dxa"/>
            <w:vAlign w:val="center"/>
          </w:tcPr>
          <w:p>
            <w:pPr>
              <w:spacing w:line="560" w:lineRule="exact"/>
              <w:jc w:val="center"/>
              <w:rPr>
                <w:rFonts w:ascii="仿宋_GB2312" w:eastAsia="仿宋_GB2312" w:cs="ArialUnicodeMS"/>
                <w:kern w:val="0"/>
                <w:sz w:val="28"/>
                <w:szCs w:val="28"/>
              </w:rPr>
            </w:pPr>
            <w:r>
              <w:rPr>
                <w:rFonts w:hint="eastAsia" w:ascii="宋体" w:hAnsi="宋体" w:cs="宋体"/>
                <w:kern w:val="0"/>
                <w:sz w:val="28"/>
                <w:szCs w:val="28"/>
              </w:rPr>
              <w:t>中国共产党永清县纪律检查委员会</w:t>
            </w:r>
            <w:r>
              <w:rPr>
                <w:rFonts w:hint="eastAsia" w:ascii="仿宋_GB2312" w:eastAsia="仿宋_GB2312" w:cs="ArialUnicodeMS"/>
                <w:i/>
                <w:kern w:val="0"/>
                <w:sz w:val="28"/>
                <w:szCs w:val="28"/>
              </w:rPr>
              <w:t xml:space="preserve"> </w:t>
            </w:r>
            <w:r>
              <w:rPr>
                <w:rFonts w:hint="eastAsia" w:ascii="仿宋_GB2312" w:eastAsia="仿宋_GB2312" w:cs="ArialUnicodeMS"/>
                <w:kern w:val="0"/>
                <w:sz w:val="28"/>
                <w:szCs w:val="28"/>
              </w:rPr>
              <w:t>（本级）</w:t>
            </w:r>
          </w:p>
        </w:tc>
        <w:tc>
          <w:tcPr>
            <w:tcW w:w="2445" w:type="dxa"/>
            <w:vAlign w:val="center"/>
          </w:tcPr>
          <w:p>
            <w:pPr>
              <w:spacing w:line="560" w:lineRule="exact"/>
              <w:jc w:val="center"/>
              <w:rPr>
                <w:rFonts w:ascii="仿宋_GB2312" w:eastAsia="仿宋_GB2312" w:cs="ArialUnicodeMS"/>
                <w:kern w:val="0"/>
                <w:sz w:val="28"/>
                <w:szCs w:val="28"/>
              </w:rPr>
            </w:pPr>
            <w:r>
              <w:rPr>
                <w:rFonts w:hint="eastAsia" w:ascii="仿宋_GB2312" w:eastAsia="仿宋_GB2312" w:cs="ArialUnicodeMS"/>
                <w:kern w:val="0"/>
                <w:sz w:val="28"/>
                <w:szCs w:val="28"/>
              </w:rPr>
              <w:t>行政单位</w:t>
            </w:r>
          </w:p>
        </w:tc>
        <w:tc>
          <w:tcPr>
            <w:tcW w:w="2665" w:type="dxa"/>
            <w:vAlign w:val="center"/>
          </w:tcPr>
          <w:p>
            <w:pPr>
              <w:spacing w:line="560" w:lineRule="exact"/>
              <w:jc w:val="center"/>
              <w:rPr>
                <w:rFonts w:ascii="仿宋_GB2312" w:eastAsia="仿宋_GB2312" w:cs="ArialUnicodeMS"/>
                <w:kern w:val="0"/>
                <w:sz w:val="28"/>
                <w:szCs w:val="28"/>
              </w:rPr>
            </w:pPr>
            <w:r>
              <w:rPr>
                <w:rFonts w:hint="eastAsia" w:ascii="仿宋_GB2312" w:eastAsia="仿宋_GB2312" w:cs="ArialUnicodeMS"/>
                <w:kern w:val="0"/>
                <w:sz w:val="28"/>
                <w:szCs w:val="28"/>
              </w:rPr>
              <w:t>财政拨款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0" w:type="dxa"/>
            <w:gridSpan w:val="4"/>
            <w:tcBorders>
              <w:top w:val="single" w:color="auto" w:sz="4" w:space="0"/>
              <w:left w:val="nil"/>
              <w:bottom w:val="nil"/>
              <w:right w:val="nil"/>
            </w:tcBorders>
          </w:tcPr>
          <w:p>
            <w:pPr>
              <w:spacing w:line="560" w:lineRule="exact"/>
              <w:ind w:firstLine="560" w:firstLineChars="200"/>
              <w:jc w:val="left"/>
              <w:rPr>
                <w:rFonts w:ascii="仿宋_GB2312" w:hAnsi="Calibri" w:eastAsia="仿宋_GB2312" w:cs="ArialUnicodeMS"/>
                <w:kern w:val="0"/>
                <w:sz w:val="28"/>
                <w:szCs w:val="28"/>
              </w:rPr>
            </w:pPr>
          </w:p>
        </w:tc>
      </w:tr>
    </w:tbl>
    <w:p>
      <w:pPr>
        <w:widowControl/>
        <w:spacing w:line="580" w:lineRule="exact"/>
        <w:ind w:firstLine="640" w:firstLineChars="200"/>
        <w:rPr>
          <w:rFonts w:eastAsia="黑体"/>
          <w:sz w:val="32"/>
          <w:szCs w:val="32"/>
        </w:rPr>
      </w:pP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r>
        <w:rPr>
          <w:sz w:val="72"/>
        </w:rPr>
        <mc:AlternateContent>
          <mc:Choice Requires="wps">
            <w:drawing>
              <wp:anchor distT="0" distB="0" distL="114300" distR="114300" simplePos="0" relativeHeight="251667456" behindDoc="0" locked="0" layoutInCell="1" allowOverlap="1">
                <wp:simplePos x="0" y="0"/>
                <wp:positionH relativeFrom="column">
                  <wp:posOffset>-1153160</wp:posOffset>
                </wp:positionH>
                <wp:positionV relativeFrom="paragraph">
                  <wp:posOffset>55245</wp:posOffset>
                </wp:positionV>
                <wp:extent cx="7793355" cy="3341370"/>
                <wp:effectExtent l="4445" t="4445" r="12700" b="6985"/>
                <wp:wrapNone/>
                <wp:docPr id="13" name="文本框 187"/>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rgbClr val="FFFFFF"/>
                          </a:bgClr>
                        </a:pattFill>
                        <a:ln w="6350" cap="flat" cmpd="sng">
                          <a:solidFill>
                            <a:srgbClr val="FFD966"/>
                          </a:solidFill>
                          <a:prstDash val="solid"/>
                          <a:miter/>
                          <a:headEnd type="none" w="med" len="med"/>
                          <a:tailEnd type="none" w="med" len="med"/>
                        </a:ln>
                      </wps:spPr>
                      <wps:txbx>
                        <w:txbxContent>
                          <w:p>
                            <w:pPr>
                              <w:widowControl/>
                              <w:jc w:val="center"/>
                              <w:rPr>
                                <w:rFonts w:ascii="黑体" w:hAnsi="黑体" w:eastAsia="黑体"/>
                                <w:color w:val="000000"/>
                                <w:sz w:val="90"/>
                                <w:szCs w:val="90"/>
                              </w:rPr>
                            </w:pPr>
                            <w:r>
                              <w:rPr>
                                <w:rFonts w:hint="eastAsia" w:ascii="黑体" w:hAnsi="黑体" w:eastAsia="黑体"/>
                                <w:color w:val="000000"/>
                                <w:sz w:val="90"/>
                                <w:szCs w:val="90"/>
                              </w:rPr>
                              <w:t xml:space="preserve">第二部分 </w:t>
                            </w:r>
                          </w:p>
                          <w:p>
                            <w:pPr>
                              <w:widowControl/>
                              <w:jc w:val="center"/>
                              <w:rPr>
                                <w:rFonts w:ascii="黑体" w:hAnsi="黑体" w:eastAsia="黑体"/>
                                <w:color w:val="000000"/>
                                <w:sz w:val="90"/>
                                <w:szCs w:val="90"/>
                              </w:rPr>
                            </w:pPr>
                            <w:r>
                              <w:rPr>
                                <w:rFonts w:hint="eastAsia" w:ascii="黑体" w:hAnsi="黑体" w:eastAsia="黑体"/>
                                <w:color w:val="000000"/>
                                <w:sz w:val="90"/>
                                <w:szCs w:val="90"/>
                              </w:rPr>
                              <w:t>2019年部门决算情况说明</w:t>
                            </w:r>
                          </w:p>
                          <w:p/>
                        </w:txbxContent>
                      </wps:txbx>
                      <wps:bodyPr anchor="ctr" anchorCtr="0" upright="1"/>
                    </wps:wsp>
                  </a:graphicData>
                </a:graphic>
              </wp:anchor>
            </w:drawing>
          </mc:Choice>
          <mc:Fallback>
            <w:pict>
              <v:shape id="文本框 187" o:spid="_x0000_s1026" o:spt="202" type="#_x0000_t202" style="position:absolute;left:0pt;margin-left:-90.8pt;margin-top:4.35pt;height:263.1pt;width:613.65pt;z-index:251667456;v-text-anchor:middle;mso-width-relative:page;mso-height-relative:page;" fillcolor="#FFD966" filled="t" stroked="t" coordsize="21600,21600" o:gfxdata="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&#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P1B8+LaAAAACwEAAA8AAAAAAAAAAQAgAAAAIgAAAGRy&#10;cy9kb3ducmV2LnhtbFBLAQIUABQAAAAIAIdO4kCUVKGxPAIAAJ4EAAAOAAAAAAAAAAEAIAAAACkB&#10;AABkcnMvZTJvRG9jLnhtbFBLBQYAAAAABgAGAFkBAADXBQAAAAA=&#10;">
                <v:fill type="pattern" on="t" color2="#FFFFFF" o:title="5%" focussize="0,0" r:id="rId28"/>
                <v:stroke weight="0.5pt" color="#FFD966" joinstyle="miter"/>
                <v:imagedata o:title=""/>
                <o:lock v:ext="edit" aspectratio="f"/>
                <v:textbox>
                  <w:txbxContent>
                    <w:p>
                      <w:pPr>
                        <w:widowControl/>
                        <w:jc w:val="center"/>
                        <w:rPr>
                          <w:rFonts w:ascii="黑体" w:hAnsi="黑体" w:eastAsia="黑体"/>
                          <w:color w:val="000000"/>
                          <w:sz w:val="90"/>
                          <w:szCs w:val="90"/>
                        </w:rPr>
                      </w:pPr>
                      <w:r>
                        <w:rPr>
                          <w:rFonts w:hint="eastAsia" w:ascii="黑体" w:hAnsi="黑体" w:eastAsia="黑体"/>
                          <w:color w:val="000000"/>
                          <w:sz w:val="90"/>
                          <w:szCs w:val="90"/>
                        </w:rPr>
                        <w:t xml:space="preserve">第二部分 </w:t>
                      </w:r>
                    </w:p>
                    <w:p>
                      <w:pPr>
                        <w:widowControl/>
                        <w:jc w:val="center"/>
                        <w:rPr>
                          <w:rFonts w:ascii="黑体" w:hAnsi="黑体" w:eastAsia="黑体"/>
                          <w:color w:val="000000"/>
                          <w:sz w:val="90"/>
                          <w:szCs w:val="90"/>
                        </w:rPr>
                      </w:pPr>
                      <w:r>
                        <w:rPr>
                          <w:rFonts w:hint="eastAsia" w:ascii="黑体" w:hAnsi="黑体" w:eastAsia="黑体"/>
                          <w:color w:val="000000"/>
                          <w:sz w:val="90"/>
                          <w:szCs w:val="90"/>
                        </w:rPr>
                        <w:t>2019年部门决算情况说明</w:t>
                      </w:r>
                    </w:p>
                    <w:p/>
                  </w:txbxContent>
                </v:textbox>
              </v:shape>
            </w:pict>
          </mc:Fallback>
        </mc:AlternateContent>
      </w: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一、收入</w:t>
      </w:r>
      <w:r>
        <w:rPr>
          <w:rFonts w:hint="eastAsia" w:ascii="黑体" w:hAnsi="Cambria" w:eastAsia="黑体"/>
          <w:kern w:val="0"/>
          <w:sz w:val="32"/>
          <w:szCs w:val="32"/>
        </w:rPr>
        <w:t>支出</w:t>
      </w:r>
      <w:r>
        <w:rPr>
          <w:rFonts w:hint="eastAsia" w:ascii="黑体" w:hAnsi="Calibri" w:eastAsia="黑体" w:cs="Times New Roman"/>
          <w:sz w:val="32"/>
          <w:szCs w:val="32"/>
        </w:rPr>
        <w:t>决算总体情况说明</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本部门2019年度收支总计（含结转和结余）1867.28万元。与2018年度决算相比，收支各增加45.6万元，增长</w:t>
      </w:r>
      <w:r>
        <w:rPr>
          <w:rFonts w:hint="eastAsia" w:ascii="宋体" w:hAnsi="宋体" w:cs="宋体"/>
          <w:sz w:val="32"/>
          <w:szCs w:val="32"/>
        </w:rPr>
        <w:t>2.44</w:t>
      </w:r>
      <w:r>
        <w:rPr>
          <w:rFonts w:hint="eastAsia" w:ascii="仿宋_GB2312" w:eastAsia="仿宋_GB2312" w:cs="DengXian-Regular"/>
          <w:sz w:val="32"/>
          <w:szCs w:val="32"/>
        </w:rPr>
        <w:t>%，主要</w:t>
      </w:r>
      <w:r>
        <w:rPr>
          <w:rFonts w:hint="eastAsia" w:ascii="仿宋_GB2312" w:eastAsia="仿宋_GB2312" w:cs="DengXian-Regular"/>
          <w:sz w:val="32"/>
          <w:szCs w:val="32"/>
          <w:lang w:eastAsia="zh-CN"/>
        </w:rPr>
        <w:t>原因是</w:t>
      </w:r>
      <w:r>
        <w:rPr>
          <w:rFonts w:hint="eastAsia" w:ascii="仿宋_GB2312" w:eastAsia="仿宋_GB2312" w:cs="DengXian-Regular"/>
          <w:sz w:val="32"/>
          <w:szCs w:val="32"/>
        </w:rPr>
        <w:t>上年度结转人员支出较多。</w:t>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二、收入决算情况说明</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本部门2019年度本年收入合计1848.30万元，其中：财政拨款收入1848.30万元，占100%；事业收入0万元，占0%；经营收入0万元，占0%；其他收入0万元，占0%。</w:t>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三、支出决算情况说明</w:t>
      </w:r>
    </w:p>
    <w:p>
      <w:pPr>
        <w:keepNext/>
        <w:keepLines/>
        <w:snapToGrid w:val="0"/>
        <w:spacing w:line="580" w:lineRule="exact"/>
        <w:ind w:firstLine="640" w:firstLineChars="200"/>
        <w:outlineLvl w:val="1"/>
        <w:rPr>
          <w:rFonts w:eastAsia="仿宋_GB2312" w:cs="DengXian-Regular"/>
          <w:sz w:val="32"/>
          <w:szCs w:val="32"/>
        </w:rPr>
      </w:pPr>
      <w:r>
        <w:rPr>
          <w:rFonts w:hint="eastAsia" w:ascii="仿宋_GB2312" w:eastAsia="仿宋_GB2312" w:cs="DengXian-Regular"/>
          <w:sz w:val="32"/>
          <w:szCs w:val="32"/>
        </w:rPr>
        <w:t>本部门2019年度本年支出合计1867.28万元，其中：基本支出1418.08万元，占75.94%；项目支出</w:t>
      </w:r>
      <w:r>
        <w:rPr>
          <w:rFonts w:hint="eastAsia" w:ascii="宋体" w:hAnsi="宋体" w:cs="宋体"/>
          <w:sz w:val="32"/>
          <w:szCs w:val="32"/>
        </w:rPr>
        <w:t>449.20</w:t>
      </w:r>
      <w:r>
        <w:rPr>
          <w:rFonts w:hint="eastAsia" w:ascii="仿宋_GB2312" w:eastAsia="仿宋_GB2312" w:cs="DengXian-Regular"/>
          <w:sz w:val="32"/>
          <w:szCs w:val="32"/>
        </w:rPr>
        <w:t>万元，占24.06%；经营支出0万元，占0%。</w:t>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四、</w:t>
      </w:r>
      <w:r>
        <w:rPr>
          <w:rFonts w:hint="eastAsia" w:ascii="黑体" w:hAnsi="Cambria" w:eastAsia="黑体"/>
          <w:kern w:val="0"/>
          <w:sz w:val="32"/>
          <w:szCs w:val="32"/>
        </w:rPr>
        <w:t>财政</w:t>
      </w:r>
      <w:r>
        <w:rPr>
          <w:rFonts w:hint="eastAsia" w:ascii="黑体" w:hAnsi="Calibri" w:eastAsia="黑体" w:cs="Times New Roman"/>
          <w:sz w:val="32"/>
          <w:szCs w:val="32"/>
        </w:rPr>
        <w:t>拨款收入支出决算总体情况说明</w:t>
      </w:r>
    </w:p>
    <w:p>
      <w:pPr>
        <w:snapToGrid w:val="0"/>
        <w:spacing w:line="580" w:lineRule="exact"/>
        <w:ind w:firstLine="643" w:firstLine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（一）财政拨款收支与2018 年度决算对比情况</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本部门2019年度形成的财政拨款收支均为一般公共预算财政拨款，其中本年收入1848.30万元,比2018年度增加21.62万元，增长</w:t>
      </w:r>
      <w:r>
        <w:rPr>
          <w:rFonts w:hint="eastAsia" w:ascii="宋体" w:hAnsi="宋体" w:cs="宋体"/>
          <w:sz w:val="32"/>
          <w:szCs w:val="32"/>
        </w:rPr>
        <w:t>1.19</w:t>
      </w:r>
      <w:r>
        <w:rPr>
          <w:rFonts w:hint="eastAsia" w:ascii="仿宋_GB2312" w:eastAsia="仿宋_GB2312" w:cs="DengXian-Regular"/>
          <w:sz w:val="32"/>
          <w:szCs w:val="32"/>
        </w:rPr>
        <w:t>%，主要是增加了乡镇纪律审查项目75万元；本年支出1867.28万元，增加64.58万元，增长3.58%，主要是乡镇纪律审查项目支出增加75万元。</w:t>
      </w:r>
    </w:p>
    <w:p>
      <w:pPr>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（二）财政拨款收支与年初预算数对比情况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eastAsia="仿宋_GB2312" w:cs="DengXian-Regular"/>
          <w:sz w:val="32"/>
          <w:szCs w:val="32"/>
        </w:rPr>
        <w:t>本部门2019年度一般公共预算财政拨款收入1848.30万元，</w:t>
      </w:r>
      <w:r>
        <w:rPr>
          <w:rFonts w:hint="eastAsia" w:ascii="仿宋_GB2312" w:hAnsi="Times New Roman" w:eastAsia="仿宋_GB2312" w:cs="DengXian-Regular"/>
          <w:sz w:val="32"/>
          <w:szCs w:val="32"/>
        </w:rPr>
        <w:t>完成年初预算的90.71%,比年初预算</w:t>
      </w:r>
      <w:r>
        <w:rPr>
          <w:rFonts w:hint="eastAsia" w:ascii="仿宋_GB2312" w:eastAsia="仿宋_GB2312" w:cs="DengXian-Regular"/>
          <w:sz w:val="32"/>
          <w:szCs w:val="32"/>
        </w:rPr>
        <w:t>减少18</w:t>
      </w:r>
      <w:r>
        <w:rPr>
          <w:rFonts w:hint="eastAsia" w:ascii="宋体" w:hAnsi="宋体" w:cs="宋体"/>
          <w:sz w:val="32"/>
          <w:szCs w:val="32"/>
        </w:rPr>
        <w:t>9.36</w:t>
      </w:r>
      <w:r>
        <w:rPr>
          <w:rFonts w:hint="eastAsia" w:ascii="仿宋_GB2312" w:eastAsia="仿宋_GB2312" w:cs="DengXian-Regular"/>
          <w:sz w:val="32"/>
          <w:szCs w:val="32"/>
        </w:rPr>
        <w:t>万元</w:t>
      </w:r>
      <w:r>
        <w:rPr>
          <w:rFonts w:hint="eastAsia" w:ascii="仿宋_GB2312" w:hAnsi="Times New Roman" w:eastAsia="仿宋_GB2312" w:cs="DengXian-Regular"/>
          <w:sz w:val="32"/>
          <w:szCs w:val="32"/>
        </w:rPr>
        <w:t>，决算数小于预算数主要</w:t>
      </w:r>
      <w:r>
        <w:rPr>
          <w:rFonts w:hint="eastAsia" w:ascii="仿宋_GB2312" w:hAnsi="Times New Roman" w:eastAsia="仿宋_GB2312" w:cs="DengXian-Regular"/>
          <w:sz w:val="32"/>
          <w:szCs w:val="32"/>
          <w:lang w:eastAsia="zh-CN"/>
        </w:rPr>
        <w:t>原因是</w:t>
      </w:r>
      <w:r>
        <w:rPr>
          <w:rFonts w:hint="eastAsia" w:ascii="仿宋_GB2312" w:eastAsia="仿宋_GB2312" w:cs="DengXian-Regular"/>
          <w:sz w:val="32"/>
          <w:szCs w:val="32"/>
        </w:rPr>
        <w:t>部分人员</w:t>
      </w:r>
      <w:r>
        <w:rPr>
          <w:rFonts w:hint="eastAsia" w:ascii="仿宋" w:hAnsi="仿宋" w:eastAsia="仿宋" w:cs="DengXian-Regular"/>
          <w:sz w:val="32"/>
          <w:szCs w:val="32"/>
        </w:rPr>
        <w:t>调出，</w:t>
      </w:r>
      <w:r>
        <w:rPr>
          <w:rFonts w:hint="eastAsia" w:ascii="仿宋_GB2312" w:eastAsia="仿宋_GB2312" w:cs="DengXian-Regular"/>
          <w:sz w:val="32"/>
          <w:szCs w:val="32"/>
        </w:rPr>
        <w:t>人员支出预算未申请及项目部分款项未未申请使用</w:t>
      </w:r>
      <w:r>
        <w:rPr>
          <w:rFonts w:hint="eastAsia" w:ascii="仿宋_GB2312" w:hAnsi="Times New Roman" w:eastAsia="仿宋_GB2312" w:cs="DengXian-Regular"/>
          <w:sz w:val="32"/>
          <w:szCs w:val="32"/>
        </w:rPr>
        <w:t>；本年支出1867.28万元，完成年初预算的91.64%,比年初预算减少170.38万元，决算数小于预算数主要原因是主要是</w:t>
      </w:r>
      <w:r>
        <w:rPr>
          <w:rFonts w:hint="eastAsia" w:ascii="仿宋_GB2312" w:eastAsia="仿宋_GB2312" w:cs="DengXian-Regular"/>
          <w:sz w:val="32"/>
          <w:szCs w:val="32"/>
        </w:rPr>
        <w:t>人员</w:t>
      </w:r>
      <w:r>
        <w:rPr>
          <w:rFonts w:hint="eastAsia" w:ascii="仿宋" w:hAnsi="仿宋" w:eastAsia="仿宋" w:cs="DengXian-Regular"/>
          <w:sz w:val="32"/>
          <w:szCs w:val="32"/>
        </w:rPr>
        <w:t>调整使得人员支出</w:t>
      </w:r>
      <w:r>
        <w:rPr>
          <w:rFonts w:hint="eastAsia" w:ascii="仿宋_GB2312" w:eastAsia="仿宋_GB2312" w:cs="DengXian-Regular"/>
          <w:sz w:val="32"/>
          <w:szCs w:val="32"/>
        </w:rPr>
        <w:t>预算有剩余；部分项目款未使用</w:t>
      </w:r>
      <w:r>
        <w:rPr>
          <w:rFonts w:hint="eastAsia" w:ascii="仿宋_GB2312" w:hAnsi="Times New Roman" w:eastAsia="仿宋_GB2312" w:cs="DengXian-Regular"/>
          <w:sz w:val="32"/>
          <w:szCs w:val="32"/>
        </w:rPr>
        <w:t>。</w:t>
      </w:r>
    </w:p>
    <w:p>
      <w:pPr>
        <w:numPr>
          <w:ilvl w:val="0"/>
          <w:numId w:val="3"/>
        </w:numPr>
        <w:adjustRightInd w:val="0"/>
        <w:snapToGrid w:val="0"/>
        <w:spacing w:line="580" w:lineRule="exact"/>
        <w:ind w:left="420" w:left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财政拨款支出决算结构情况。</w:t>
      </w:r>
    </w:p>
    <w:p>
      <w:pPr>
        <w:adjustRightInd w:val="0"/>
        <w:snapToGrid w:val="0"/>
        <w:spacing w:line="580" w:lineRule="exact"/>
        <w:ind w:firstLine="640" w:firstLineChars="200"/>
        <w:rPr>
          <w:rFonts w:ascii="楷体_GB2312" w:hAnsi="Times New Roman" w:eastAsia="楷体_GB2312" w:cs="DengXian-Bold"/>
          <w:b/>
          <w:bCs/>
          <w:sz w:val="32"/>
          <w:szCs w:val="32"/>
        </w:rPr>
      </w:pPr>
      <w:r>
        <w:rPr>
          <w:rFonts w:hint="eastAsia" w:ascii="仿宋_GB2312" w:hAnsi="Times New Roman" w:eastAsia="仿宋_GB2312" w:cs="DengXian-Regular"/>
          <w:sz w:val="32"/>
          <w:szCs w:val="32"/>
        </w:rPr>
        <w:t>2019 年度财政拨款支出</w:t>
      </w:r>
      <w:r>
        <w:rPr>
          <w:rFonts w:hint="eastAsia" w:ascii="仿宋_GB2312" w:eastAsia="仿宋_GB2312" w:cs="DengXian-Regular"/>
          <w:sz w:val="32"/>
          <w:szCs w:val="32"/>
        </w:rPr>
        <w:t>1867.28</w:t>
      </w:r>
      <w:r>
        <w:rPr>
          <w:rFonts w:hint="eastAsia" w:ascii="仿宋_GB2312" w:hAnsi="Times New Roman" w:eastAsia="仿宋_GB2312" w:cs="DengXian-Regular"/>
          <w:sz w:val="32"/>
          <w:szCs w:val="32"/>
        </w:rPr>
        <w:t>万元，主要用于以下方面一般公共服务（类）支出</w:t>
      </w:r>
      <w:r>
        <w:rPr>
          <w:rFonts w:hint="eastAsia" w:ascii="仿宋_GB2312" w:eastAsia="仿宋_GB2312" w:cs="DengXian-Regular"/>
          <w:sz w:val="32"/>
          <w:szCs w:val="32"/>
        </w:rPr>
        <w:t>1803.02</w:t>
      </w:r>
      <w:r>
        <w:rPr>
          <w:rFonts w:hint="eastAsia" w:ascii="仿宋_GB2312" w:hAnsi="Times New Roman" w:eastAsia="仿宋_GB2312" w:cs="DengXian-Regular"/>
          <w:sz w:val="32"/>
          <w:szCs w:val="32"/>
        </w:rPr>
        <w:t>万元，占96.56%，；公共安全类（类）支出0万元，占0%；教育（类）支出0万元，占0%；科学技术（类）支出0万元，占0%；社会保障和就业（类）支出 0万元，占0%；住房保障（类）支出64.26万元，占3.44%。</w:t>
      </w:r>
    </w:p>
    <w:p>
      <w:pPr>
        <w:adjustRightInd w:val="0"/>
        <w:snapToGrid w:val="0"/>
        <w:spacing w:line="580" w:lineRule="exact"/>
        <w:ind w:left="420" w:left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（四）一般公共预算基本支出决算情况说明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2019 年度财政拨款基本支出1418.07万元，其中：人员经费 1256.85万元，主要包括基本工资、津贴补贴、奖金、伙食补助费、绩效工资、机关事业单位基本养老保险缴费、职业年金缴费、职工基本医疗保险缴费、公务员医疗补助缴费、住房公积金、医疗费、其他社会保障缴费、其他工资福利支出、离休费、退休费、抚恤金、生活补助、医疗费补助、奖励金、其他对个人和家庭的补助支出；公用经费161.22万元，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公务用车购置、其他资本性支出。</w:t>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五、一般公共预算“三公” 经费支出决算情况说明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三公”经费支出共计42.45万元，完成预算的96.04%,较预算减少1.75万元，降低3.96%，主要是由于利用政府采购对车辆进行购置，采购金额减少0.22万元，同时相关支出费用减少1.53万元；较2018年度增加39.25万元，增长1226.56%，主要是2019年更换2辆执法执纪用辆。具体情况如下：</w:t>
      </w:r>
    </w:p>
    <w:p>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楷体_GB2312" w:hAnsi="Times New Roman" w:eastAsia="楷体_GB2312" w:cs="DengXian-Bold"/>
          <w:b/>
          <w:bCs/>
          <w:sz w:val="32"/>
          <w:szCs w:val="32"/>
        </w:rPr>
        <w:t>（一）因公出国（境）费支出</w:t>
      </w:r>
      <w:r>
        <w:rPr>
          <w:rFonts w:ascii="楷体_GB2312" w:hAnsi="Times New Roman" w:eastAsia="楷体_GB2312" w:cs="DengXian-Bold"/>
          <w:b/>
          <w:bCs/>
          <w:sz w:val="32"/>
          <w:szCs w:val="32"/>
        </w:rPr>
        <w:t>0</w:t>
      </w:r>
      <w:r>
        <w:rPr>
          <w:rFonts w:hint="eastAsia" w:ascii="楷体_GB2312" w:hAnsi="Times New Roman" w:eastAsia="楷体_GB2312" w:cs="DengXian-Bold"/>
          <w:b/>
          <w:bCs/>
          <w:sz w:val="32"/>
          <w:szCs w:val="32"/>
        </w:rPr>
        <w:t>万元。</w:t>
      </w:r>
      <w:r>
        <w:rPr>
          <w:rFonts w:hint="eastAsia" w:ascii="仿宋_GB2312" w:hAnsi="Times New Roman" w:eastAsia="仿宋_GB2312" w:cs="DengXian-Regular"/>
          <w:sz w:val="32"/>
          <w:szCs w:val="32"/>
        </w:rPr>
        <w:t>本部门2019年度因公出国（境）团组0个、共0人/参加其他单位组织的因公出国（境）团组0个、共0人/无本单位组织的出国（境）团组。因公出国（境）费支出较预算减少0万元，降低0%,主要是</w:t>
      </w:r>
      <w:r>
        <w:rPr>
          <w:rFonts w:hint="eastAsia" w:ascii="仿宋_GB2312" w:eastAsia="仿宋_GB2312" w:cs="DengXian-Regular"/>
          <w:sz w:val="32"/>
          <w:szCs w:val="32"/>
        </w:rPr>
        <w:t>因公出国（境）费未发生支出，与年初预算持平，主要是认真贯彻落实中央“八项规定”精神和厉行节约要求，从严控制“三公”经费开支，全年实际支出与年初预算持平</w:t>
      </w:r>
      <w:r>
        <w:rPr>
          <w:rFonts w:hint="eastAsia" w:ascii="仿宋_GB2312" w:hAnsi="Times New Roman" w:eastAsia="仿宋_GB2312" w:cs="DengXian-Regular"/>
          <w:sz w:val="32"/>
          <w:szCs w:val="32"/>
        </w:rPr>
        <w:t>；较上年减少0万元，降低0%,主要是</w:t>
      </w:r>
      <w:r>
        <w:rPr>
          <w:rFonts w:hint="eastAsia" w:ascii="仿宋_GB2312" w:eastAsia="仿宋_GB2312" w:cs="DengXian-Regular"/>
          <w:sz w:val="32"/>
          <w:szCs w:val="32"/>
        </w:rPr>
        <w:t>因公出国（境）费未发生支出，与2018年度决算支出持平，主要是认真贯彻落实中央“八项规定”精神和厉行节约要求，从严控制“三公”经费开支。</w:t>
      </w:r>
    </w:p>
    <w:p>
      <w:pPr>
        <w:adjustRightInd w:val="0"/>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（二）公务用车购置及运行维护费支出</w:t>
      </w:r>
      <w:r>
        <w:rPr>
          <w:rFonts w:ascii="楷体_GB2312" w:hAnsi="Times New Roman" w:eastAsia="楷体_GB2312" w:cs="DengXian-Bold"/>
          <w:b/>
          <w:bCs/>
          <w:sz w:val="32"/>
          <w:szCs w:val="32"/>
        </w:rPr>
        <w:t>42.45</w:t>
      </w:r>
      <w:r>
        <w:rPr>
          <w:rFonts w:hint="eastAsia" w:ascii="楷体_GB2312" w:hAnsi="Times New Roman" w:eastAsia="楷体_GB2312" w:cs="DengXian-Bold"/>
          <w:b/>
          <w:bCs/>
          <w:sz w:val="32"/>
          <w:szCs w:val="32"/>
        </w:rPr>
        <w:t>万元。</w:t>
      </w:r>
      <w:r>
        <w:rPr>
          <w:rFonts w:hint="eastAsia" w:ascii="仿宋_GB2312" w:eastAsia="仿宋_GB2312" w:cs="DengXian-Regular"/>
          <w:sz w:val="32"/>
          <w:szCs w:val="32"/>
        </w:rPr>
        <w:t>本部门2019年度公务用车购置及运行维护费较预算减少1.75元； 降低3.96%，主要是车辆购置费减少1.75万元。</w:t>
      </w:r>
      <w:r>
        <w:rPr>
          <w:rFonts w:hint="eastAsia" w:ascii="仿宋_GB2312" w:hAnsi="Times New Roman" w:eastAsia="仿宋_GB2312" w:cs="DengXian-Regular"/>
          <w:sz w:val="32"/>
          <w:szCs w:val="32"/>
        </w:rPr>
        <w:t>较上年增加39.25万元，增长1226.56%,主要是由于购置了2辆执法执纪用车。</w:t>
      </w:r>
      <w:r>
        <w:rPr>
          <w:rFonts w:hint="eastAsia" w:ascii="仿宋_GB2312" w:hAnsi="Times New Roman" w:eastAsia="仿宋_GB2312" w:cs="DengXian-Bold"/>
          <w:b/>
          <w:bCs/>
          <w:sz w:val="32"/>
          <w:szCs w:val="32"/>
        </w:rPr>
        <w:t>其中：</w:t>
      </w:r>
    </w:p>
    <w:p>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仿宋_GB2312" w:hAnsi="Times New Roman" w:eastAsia="仿宋_GB2312" w:cs="DengXian-Regular"/>
          <w:b/>
          <w:sz w:val="32"/>
          <w:szCs w:val="32"/>
        </w:rPr>
        <w:t>公务用车购置费：</w:t>
      </w:r>
      <w:r>
        <w:rPr>
          <w:rFonts w:hint="eastAsia" w:ascii="仿宋_GB2312" w:eastAsia="仿宋_GB2312" w:cs="DengXian-Regular"/>
          <w:sz w:val="32"/>
          <w:szCs w:val="32"/>
        </w:rPr>
        <w:t>本部门2019年度公务用车购置量2辆。发生“公务用车购置”经费支出39.25万元。公务用车购置费支出较年初预算减少1.75万元，降低3.96%,主要是车辆购置及相关支出1.75万元。</w:t>
      </w:r>
      <w:r>
        <w:rPr>
          <w:rFonts w:hint="eastAsia" w:ascii="仿宋_GB2312" w:hAnsi="Times New Roman" w:eastAsia="仿宋_GB2312" w:cs="DengXian-Regular"/>
          <w:sz w:val="32"/>
          <w:szCs w:val="32"/>
        </w:rPr>
        <w:t>较上年</w:t>
      </w:r>
      <w:r>
        <w:rPr>
          <w:rFonts w:hint="eastAsia" w:eastAsia="仿宋_GB2312" w:cs="DengXian-Regular" w:asciiTheme="minorHAnsi" w:hAnsiTheme="minorHAnsi"/>
          <w:sz w:val="32"/>
          <w:szCs w:val="32"/>
        </w:rPr>
        <w:t>增加39.25</w:t>
      </w:r>
      <w:r>
        <w:rPr>
          <w:rFonts w:hint="eastAsia" w:ascii="仿宋_GB2312" w:hAnsi="Times New Roman" w:eastAsia="仿宋_GB2312" w:cs="DengXian-Regular"/>
          <w:sz w:val="32"/>
          <w:szCs w:val="32"/>
        </w:rPr>
        <w:t>万元,主要是用于</w:t>
      </w:r>
      <w:r>
        <w:rPr>
          <w:rFonts w:hint="eastAsia" w:ascii="仿宋_GB2312" w:eastAsia="仿宋_GB2312" w:cs="DengXian-Regular"/>
          <w:sz w:val="32"/>
          <w:szCs w:val="32"/>
        </w:rPr>
        <w:t>公务用车购置费支出39.25万元，比2018年度决算支出增加39.25万元,主要是用于购置执法执纪用车</w:t>
      </w:r>
      <w:r>
        <w:rPr>
          <w:rFonts w:hint="eastAsia" w:ascii="仿宋_GB2312" w:hAnsi="Times New Roman" w:eastAsia="仿宋_GB2312" w:cs="DengXian-Regular"/>
          <w:sz w:val="32"/>
          <w:szCs w:val="32"/>
        </w:rPr>
        <w:t>。</w:t>
      </w:r>
    </w:p>
    <w:p>
      <w:pPr>
        <w:adjustRightInd w:val="0"/>
        <w:snapToGrid w:val="0"/>
        <w:spacing w:line="580" w:lineRule="exact"/>
        <w:ind w:firstLine="643" w:firstLineChars="200"/>
        <w:rPr>
          <w:rFonts w:ascii="仿宋_GB2312" w:eastAsia="仿宋_GB2312" w:cs="DengXian-Regular"/>
          <w:sz w:val="32"/>
          <w:szCs w:val="32"/>
        </w:rPr>
      </w:pPr>
      <w:r>
        <w:rPr>
          <w:rFonts w:hint="eastAsia" w:ascii="仿宋_GB2312" w:eastAsia="仿宋_GB2312" w:cs="DengXian-Regular"/>
          <w:b/>
          <w:sz w:val="32"/>
          <w:szCs w:val="32"/>
        </w:rPr>
        <w:t>公务用车运行维护费：</w:t>
      </w:r>
      <w:r>
        <w:rPr>
          <w:rFonts w:hint="eastAsia" w:ascii="仿宋_GB2312" w:eastAsia="仿宋_GB2312" w:cs="DengXian-Regular"/>
          <w:sz w:val="32"/>
          <w:szCs w:val="32"/>
        </w:rPr>
        <w:t>本部门2019年度单位公务用车保有量2辆。公车运行维护费支出与年初预算持平。</w:t>
      </w:r>
      <w:r>
        <w:rPr>
          <w:rFonts w:hint="eastAsia" w:ascii="仿宋_GB2312" w:hAnsi="Times New Roman" w:eastAsia="仿宋_GB2312" w:cs="DengXian-Regular"/>
          <w:sz w:val="32"/>
          <w:szCs w:val="32"/>
        </w:rPr>
        <w:t>主要是</w:t>
      </w:r>
      <w:r>
        <w:rPr>
          <w:rFonts w:hint="eastAsia" w:ascii="仿宋_GB2312" w:eastAsia="仿宋_GB2312" w:cs="DengXian-Regular"/>
          <w:sz w:val="32"/>
          <w:szCs w:val="32"/>
        </w:rPr>
        <w:t>认真贯彻落实中央“八项规定”精神和厉行节约要求，从严控制“三公”经费开支</w:t>
      </w:r>
      <w:r>
        <w:rPr>
          <w:rFonts w:hint="eastAsia" w:ascii="仿宋_GB2312" w:hAnsi="Times New Roman" w:eastAsia="仿宋_GB2312" w:cs="DengXian-Regular"/>
          <w:sz w:val="32"/>
          <w:szCs w:val="32"/>
        </w:rPr>
        <w:t>；较上年度减少0万元，降低0%,</w:t>
      </w:r>
      <w:r>
        <w:rPr>
          <w:rFonts w:hint="eastAsia" w:ascii="仿宋_GB2312" w:eastAsia="仿宋_GB2312" w:cs="DengXian-Regular"/>
          <w:sz w:val="32"/>
          <w:szCs w:val="32"/>
        </w:rPr>
        <w:t>与2018年度决算支出持平，</w:t>
      </w:r>
      <w:r>
        <w:rPr>
          <w:rFonts w:hint="eastAsia" w:ascii="仿宋_GB2312" w:hAnsi="Times New Roman" w:eastAsia="仿宋_GB2312" w:cs="DengXian-Regular"/>
          <w:sz w:val="32"/>
          <w:szCs w:val="32"/>
        </w:rPr>
        <w:t>主要是</w:t>
      </w:r>
      <w:r>
        <w:rPr>
          <w:rFonts w:hint="eastAsia" w:ascii="仿宋_GB2312" w:eastAsia="仿宋_GB2312" w:cs="DengXian-Regular"/>
          <w:sz w:val="32"/>
          <w:szCs w:val="32"/>
        </w:rPr>
        <w:t>认真贯彻落实中央“八项规定”精神和厉行节约要求，从严控制“三公”经费开支</w:t>
      </w:r>
      <w:r>
        <w:rPr>
          <w:rFonts w:hint="eastAsia" w:ascii="仿宋_GB2312" w:hAnsi="Times New Roman" w:eastAsia="仿宋_GB2312" w:cs="DengXian-Regular"/>
          <w:sz w:val="32"/>
          <w:szCs w:val="32"/>
        </w:rPr>
        <w:t>。</w:t>
      </w:r>
    </w:p>
    <w:p>
      <w:pPr>
        <w:adjustRightInd w:val="0"/>
        <w:snapToGrid w:val="0"/>
        <w:spacing w:line="580" w:lineRule="exact"/>
        <w:ind w:firstLine="643" w:firstLineChars="200"/>
        <w:rPr>
          <w:rFonts w:ascii="仿宋_GB2312" w:hAnsi="Times New Roman" w:eastAsia="仿宋_GB2312" w:cs="DengXian-Regular"/>
          <w:sz w:val="32"/>
          <w:szCs w:val="32"/>
          <w:highlight w:val="yellow"/>
        </w:rPr>
      </w:pPr>
      <w:r>
        <w:rPr>
          <w:rFonts w:hint="eastAsia" w:ascii="楷体_GB2312" w:hAnsi="Times New Roman" w:eastAsia="楷体_GB2312" w:cs="DengXian-Bold"/>
          <w:b/>
          <w:bCs/>
          <w:sz w:val="32"/>
          <w:szCs w:val="32"/>
        </w:rPr>
        <w:t>（三）公务接待费支出0万元。</w:t>
      </w:r>
      <w:r>
        <w:rPr>
          <w:rFonts w:hint="eastAsia" w:ascii="仿宋_GB2312" w:hAnsi="Times New Roman" w:eastAsia="仿宋_GB2312" w:cs="DengXian-Regular"/>
          <w:sz w:val="32"/>
          <w:szCs w:val="32"/>
        </w:rPr>
        <w:t>本部门2019年度公务接待共0批次、0人次。公务接待费支出较预算减少0.52万元，降低100%,主要是</w:t>
      </w:r>
      <w:r>
        <w:rPr>
          <w:rFonts w:hint="eastAsia" w:ascii="仿宋_GB2312" w:eastAsia="仿宋_GB2312" w:cs="DengXian-Regular"/>
          <w:sz w:val="32"/>
          <w:szCs w:val="32"/>
        </w:rPr>
        <w:t>认真贯彻落实中央“八项规定”精神和厉行节约要求，从严控制“公务接待费”开支.</w:t>
      </w:r>
      <w:r>
        <w:rPr>
          <w:rFonts w:hint="eastAsia" w:ascii="仿宋_GB2312" w:hAnsi="Times New Roman" w:eastAsia="仿宋_GB2312" w:cs="DengXian-Regular"/>
          <w:sz w:val="32"/>
          <w:szCs w:val="32"/>
        </w:rPr>
        <w:t>较上年度减少0万元，降低0%,</w:t>
      </w:r>
      <w:r>
        <w:rPr>
          <w:rFonts w:hint="eastAsia" w:ascii="仿宋_GB2312" w:eastAsia="仿宋_GB2312" w:cs="DengXian-Regular"/>
          <w:sz w:val="32"/>
          <w:szCs w:val="32"/>
        </w:rPr>
        <w:t>与2018年度决算支出持平，</w:t>
      </w:r>
      <w:r>
        <w:rPr>
          <w:rFonts w:hint="eastAsia" w:ascii="仿宋_GB2312" w:hAnsi="Times New Roman" w:eastAsia="仿宋_GB2312" w:cs="DengXian-Regular"/>
          <w:sz w:val="32"/>
          <w:szCs w:val="32"/>
        </w:rPr>
        <w:t>主要是</w:t>
      </w:r>
      <w:r>
        <w:rPr>
          <w:rFonts w:hint="eastAsia" w:ascii="仿宋_GB2312" w:eastAsia="仿宋_GB2312" w:cs="DengXian-Regular"/>
          <w:sz w:val="32"/>
          <w:szCs w:val="32"/>
        </w:rPr>
        <w:t>认真贯彻落实中央“八项规定”精神和厉行节约要求，从严控制“三公”经费开支</w:t>
      </w:r>
      <w:r>
        <w:rPr>
          <w:rFonts w:hint="eastAsia" w:ascii="仿宋_GB2312" w:hAnsi="Times New Roman" w:eastAsia="仿宋_GB2312" w:cs="DengXian-Regular"/>
          <w:sz w:val="32"/>
          <w:szCs w:val="32"/>
        </w:rPr>
        <w:t>。</w:t>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六、其他重要事项的说明</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（一）机关运行经费情况</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本部门2019年度机关运行经费支出</w:t>
      </w:r>
      <w:r>
        <w:rPr>
          <w:rFonts w:ascii="仿宋" w:hAnsi="仿宋" w:eastAsia="仿宋"/>
          <w:sz w:val="32"/>
          <w:szCs w:val="32"/>
        </w:rPr>
        <w:t>16</w:t>
      </w:r>
      <w:r>
        <w:rPr>
          <w:rFonts w:hint="eastAsia" w:ascii="仿宋" w:hAnsi="仿宋" w:eastAsia="仿宋"/>
          <w:sz w:val="32"/>
          <w:szCs w:val="32"/>
        </w:rPr>
        <w:t>1.22</w:t>
      </w:r>
      <w:r>
        <w:rPr>
          <w:rFonts w:hint="eastAsia" w:ascii="仿宋_GB2312" w:eastAsia="仿宋_GB2312" w:cs="DengXian-Regular"/>
          <w:sz w:val="32"/>
          <w:szCs w:val="32"/>
        </w:rPr>
        <w:t>万元，比2018年减少1.42万元，降低0.87%。主要</w:t>
      </w:r>
      <w:r>
        <w:rPr>
          <w:rFonts w:hint="eastAsia" w:ascii="仿宋_GB2312" w:eastAsia="仿宋_GB2312" w:cs="DengXian-Regular"/>
          <w:sz w:val="32"/>
          <w:szCs w:val="32"/>
          <w:lang w:eastAsia="zh-CN"/>
        </w:rPr>
        <w:t>原因是</w:t>
      </w:r>
      <w:r>
        <w:rPr>
          <w:rFonts w:hint="eastAsia" w:ascii="仿宋_GB2312" w:eastAsia="仿宋_GB2312" w:cs="DengXian-Regular"/>
          <w:sz w:val="32"/>
          <w:szCs w:val="32"/>
        </w:rPr>
        <w:t>人员调整使得公务交通补贴及通讯补贴减少，由此其他交通费及邮电费较年初预算减少。</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（二）政府采购情况</w:t>
      </w:r>
    </w:p>
    <w:p>
      <w:pPr>
        <w:widowControl/>
        <w:spacing w:line="580" w:lineRule="exact"/>
        <w:ind w:firstLine="640" w:firstLineChars="200"/>
        <w:jc w:val="left"/>
        <w:rPr>
          <w:rFonts w:ascii="仿宋_GB2312" w:eastAsia="仿宋_GB2312" w:cs="DengXian-Regular"/>
          <w:sz w:val="32"/>
          <w:szCs w:val="32"/>
        </w:rPr>
      </w:pPr>
      <w:r>
        <w:rPr>
          <w:rFonts w:hint="eastAsia" w:ascii="仿宋_GB2312" w:eastAsia="仿宋_GB2312" w:cs="DengXian-Regular"/>
          <w:sz w:val="32"/>
          <w:szCs w:val="32"/>
        </w:rPr>
        <w:t>本部门2019年度政府采购支出总额35.78万元，从采购类型来看，</w:t>
      </w:r>
      <w:r>
        <w:rPr>
          <w:rFonts w:ascii="仿宋_GB2312" w:hAnsi="仿宋_GB2312" w:eastAsia="仿宋_GB2312" w:cs="仿宋_GB2312"/>
          <w:color w:val="000000"/>
          <w:kern w:val="0"/>
          <w:sz w:val="32"/>
          <w:szCs w:val="32"/>
        </w:rPr>
        <w:t>政府采购货物支出</w:t>
      </w:r>
      <w:r>
        <w:rPr>
          <w:rFonts w:hint="eastAsia" w:ascii="仿宋_GB2312" w:hAnsi="仿宋_GB2312" w:eastAsia="仿宋_GB2312" w:cs="仿宋_GB2312"/>
          <w:color w:val="000000"/>
          <w:kern w:val="0"/>
          <w:sz w:val="32"/>
          <w:szCs w:val="32"/>
        </w:rPr>
        <w:t>35.78</w:t>
      </w:r>
      <w:r>
        <w:rPr>
          <w:rFonts w:ascii="仿宋_GB2312" w:hAnsi="仿宋_GB2312" w:eastAsia="仿宋_GB2312" w:cs="仿宋_GB2312"/>
          <w:color w:val="000000"/>
          <w:kern w:val="0"/>
          <w:sz w:val="32"/>
          <w:szCs w:val="32"/>
        </w:rPr>
        <w:t xml:space="preserve"> 万元、政府采购工程支出</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 xml:space="preserve">万元、政府采购服务支出 </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万元。授予中小企业合同金</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万元，占政府采购支出总额的</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其中授予小微企业合同金额</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 xml:space="preserve">万元，占政府采购支出总额的 </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（三）国有资产占用情况</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截至2019年12月31日，本部门共有车辆10辆，与上年持平。其中，副部（省）级及以上领导用车0辆，主要领导干部用车0辆，机要通信用车2辆，应急保障用车0辆，执法执勤用车8辆，特种专业技术用车0辆，离退休干部用车0辆，其他用车0辆。</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单位价值</w:t>
      </w:r>
      <w:r>
        <w:rPr>
          <w:rFonts w:hint="eastAsia" w:ascii="仿宋_GB2312" w:hAnsi="TimesNewRomanPSMT" w:eastAsia="仿宋_GB2312" w:cs="TimesNewRomanPSMT"/>
          <w:sz w:val="32"/>
          <w:szCs w:val="32"/>
        </w:rPr>
        <w:t>50</w:t>
      </w:r>
      <w:r>
        <w:rPr>
          <w:rFonts w:hint="eastAsia" w:ascii="仿宋_GB2312" w:eastAsia="仿宋_GB2312" w:cs="DengXian-Regular"/>
          <w:sz w:val="32"/>
          <w:szCs w:val="32"/>
        </w:rPr>
        <w:t>万元以上通用设备0台（套），与上年持平，单位价值</w:t>
      </w:r>
      <w:r>
        <w:rPr>
          <w:rFonts w:hint="eastAsia" w:ascii="仿宋_GB2312" w:hAnsi="TimesNewRomanPSMT" w:eastAsia="仿宋_GB2312" w:cs="TimesNewRomanPSMT"/>
          <w:sz w:val="32"/>
          <w:szCs w:val="32"/>
        </w:rPr>
        <w:t>100</w:t>
      </w:r>
      <w:r>
        <w:rPr>
          <w:rFonts w:hint="eastAsia" w:ascii="仿宋_GB2312" w:eastAsia="仿宋_GB2312" w:cs="DengXian-Regular"/>
          <w:sz w:val="32"/>
          <w:szCs w:val="32"/>
        </w:rPr>
        <w:t>万元以上专用设备0台（套），与上年持平。</w:t>
      </w:r>
    </w:p>
    <w:p>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（四）其他需要说明的情况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1. 本部门2019年度</w:t>
      </w:r>
      <w:r>
        <w:rPr>
          <w:rFonts w:hint="eastAsia" w:eastAsia="仿宋_GB2312"/>
          <w:sz w:val="32"/>
          <w:szCs w:val="32"/>
        </w:rPr>
        <w:t>政府性基金、国有资本经营</w:t>
      </w:r>
      <w:r>
        <w:rPr>
          <w:rFonts w:hint="eastAsia" w:ascii="仿宋_GB2312" w:hAnsi="Times New Roman" w:eastAsia="仿宋_GB2312" w:cs="DengXian-Regular"/>
          <w:sz w:val="32"/>
          <w:szCs w:val="32"/>
        </w:rPr>
        <w:t>无收支及结转结余情况，故公开08表、公开09表以空表列示。</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 由于决算公开表格中金额数值应当保留两位小数，公开数据为四舍五入计算结果，个别数据合计项与分项之和存在小数点后差额，特此说明。</w:t>
      </w:r>
    </w:p>
    <w:p>
      <w:pPr>
        <w:jc w:val="center"/>
        <w:rPr>
          <w:rFonts w:ascii="黑体" w:hAnsi="黑体" w:eastAsia="黑体"/>
          <w:sz w:val="56"/>
          <w:szCs w:val="72"/>
        </w:rPr>
      </w:pPr>
    </w:p>
    <w:p>
      <w:pPr>
        <w:jc w:val="center"/>
        <w:rPr>
          <w:rFonts w:ascii="黑体" w:hAnsi="黑体" w:eastAsia="黑体"/>
          <w:sz w:val="56"/>
          <w:szCs w:val="72"/>
        </w:rPr>
        <w:sectPr>
          <w:headerReference r:id="rId16" w:type="default"/>
          <w:type w:val="continuous"/>
          <w:pgSz w:w="11906" w:h="16838"/>
          <w:pgMar w:top="2041" w:right="1531" w:bottom="2041" w:left="1531" w:header="851" w:footer="992" w:gutter="0"/>
          <w:pgNumType w:fmt="numberInDash"/>
          <w:cols w:space="0" w:num="1"/>
          <w:titlePg/>
          <w:docGrid w:type="lines" w:linePitch="312" w:charSpace="0"/>
        </w:sectPr>
      </w:pPr>
    </w:p>
    <w:p>
      <w:pPr>
        <w:rPr>
          <w:rFonts w:ascii="黑体" w:hAnsi="黑体" w:eastAsia="黑体"/>
          <w:sz w:val="56"/>
          <w:szCs w:val="72"/>
        </w:rPr>
        <w:sectPr>
          <w:headerReference r:id="rId18" w:type="first"/>
          <w:footerReference r:id="rId20" w:type="first"/>
          <w:headerReference r:id="rId17" w:type="default"/>
          <w:footerReference r:id="rId19" w:type="default"/>
          <w:type w:val="continuous"/>
          <w:pgSz w:w="11906" w:h="16838"/>
          <w:pgMar w:top="2041" w:right="1531" w:bottom="2041" w:left="1531" w:header="851" w:footer="992" w:gutter="0"/>
          <w:pgNumType w:fmt="numberInDash"/>
          <w:cols w:space="0" w:num="1"/>
          <w:titlePg/>
          <w:docGrid w:type="lines" w:linePitch="312" w:charSpace="0"/>
        </w:sectPr>
      </w:pPr>
      <w:r>
        <w:rPr>
          <w:rFonts w:ascii="黑体" w:hAnsi="黑体" w:eastAsia="黑体"/>
          <w:sz w:val="56"/>
          <w:szCs w:val="72"/>
        </w:rPr>
        <w:br w:type="page"/>
      </w:r>
    </w:p>
    <w:p>
      <w:pPr>
        <w:rPr>
          <w:rFonts w:ascii="黑体" w:hAnsi="黑体" w:eastAsia="黑体"/>
          <w:sz w:val="56"/>
          <w:szCs w:val="72"/>
        </w:rPr>
      </w:pPr>
    </w:p>
    <w:p>
      <w:pPr>
        <w:jc w:val="center"/>
        <w:rPr>
          <w:rFonts w:ascii="黑体" w:hAnsi="黑体" w:eastAsia="黑体"/>
          <w:sz w:val="56"/>
          <w:szCs w:val="72"/>
        </w:rPr>
      </w:pPr>
    </w:p>
    <w:p>
      <w:pPr>
        <w:jc w:val="center"/>
        <w:rPr>
          <w:rFonts w:ascii="黑体" w:hAnsi="黑体" w:eastAsia="黑体"/>
          <w:sz w:val="56"/>
          <w:szCs w:val="72"/>
        </w:rPr>
      </w:pPr>
    </w:p>
    <w:p>
      <w:pPr>
        <w:jc w:val="center"/>
        <w:rPr>
          <w:sz w:val="72"/>
        </w:rPr>
      </w:pPr>
      <w:r>
        <w:rPr>
          <w:sz w:val="72"/>
        </w:rPr>
        <mc:AlternateContent>
          <mc:Choice Requires="wps">
            <w:drawing>
              <wp:anchor distT="0" distB="0" distL="114300" distR="114300" simplePos="0" relativeHeight="251668480" behindDoc="0" locked="0" layoutInCell="1" allowOverlap="1">
                <wp:simplePos x="0" y="0"/>
                <wp:positionH relativeFrom="column">
                  <wp:posOffset>-1021715</wp:posOffset>
                </wp:positionH>
                <wp:positionV relativeFrom="paragraph">
                  <wp:posOffset>441960</wp:posOffset>
                </wp:positionV>
                <wp:extent cx="7793355" cy="3341370"/>
                <wp:effectExtent l="4445" t="4445" r="12700" b="6985"/>
                <wp:wrapNone/>
                <wp:docPr id="14" name="文本框 188"/>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rgbClr val="FFFFFF"/>
                          </a:bgClr>
                        </a:pattFill>
                        <a:ln w="6350" cap="flat" cmpd="sng">
                          <a:solidFill>
                            <a:srgbClr val="FFD966"/>
                          </a:solidFill>
                          <a:prstDash val="solid"/>
                          <a:miter/>
                          <a:headEnd type="none" w="med" len="med"/>
                          <a:tailEnd type="none" w="med" len="med"/>
                        </a:ln>
                      </wps:spPr>
                      <wps:txbx>
                        <w:txbxContent>
                          <w:p>
                            <w:pPr>
                              <w:widowControl/>
                              <w:jc w:val="center"/>
                            </w:pPr>
                            <w:r>
                              <w:rPr>
                                <w:rFonts w:hint="eastAsia" w:ascii="黑体" w:hAnsi="黑体" w:eastAsia="黑体"/>
                                <w:color w:val="000000"/>
                                <w:sz w:val="90"/>
                                <w:szCs w:val="90"/>
                              </w:rPr>
                              <w:t>第三部分 相关名词解释</w:t>
                            </w:r>
                          </w:p>
                        </w:txbxContent>
                      </wps:txbx>
                      <wps:bodyPr anchor="ctr" anchorCtr="0" upright="1"/>
                    </wps:wsp>
                  </a:graphicData>
                </a:graphic>
              </wp:anchor>
            </w:drawing>
          </mc:Choice>
          <mc:Fallback>
            <w:pict>
              <v:shape id="文本框 188" o:spid="_x0000_s1026" o:spt="202" type="#_x0000_t202" style="position:absolute;left:0pt;margin-left:-80.45pt;margin-top:34.8pt;height:263.1pt;width:613.65pt;z-index:251668480;v-text-anchor:middle;mso-width-relative:page;mso-height-relative:page;" fillcolor="#FFD966" filled="t" stroked="t" coordsize="21600,21600" o:gfxdata="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hub7J9sAAAAMAQAADwAAAAAAAAABACAAAAAiAAAA&#10;ZHJzL2Rvd25yZXYueG1sUEsBAhQAFAAAAAgAh07iQM+yy749AgAAngQAAA4AAAAAAAAAAQAgAAAA&#10;KgEAAGRycy9lMm9Eb2MueG1sUEsFBgAAAAAGAAYAWQEAANkFAAAAAA==&#10;">
                <v:fill type="pattern" on="t" color2="#FFFFFF" o:title="5%" focussize="0,0" r:id="rId28"/>
                <v:stroke weight="0.5pt" color="#FFD966" joinstyle="miter"/>
                <v:imagedata o:title=""/>
                <o:lock v:ext="edit" aspectratio="f"/>
                <v:textbox>
                  <w:txbxContent>
                    <w:p>
                      <w:pPr>
                        <w:widowControl/>
                        <w:jc w:val="center"/>
                      </w:pPr>
                      <w:r>
                        <w:rPr>
                          <w:rFonts w:hint="eastAsia" w:ascii="黑体" w:hAnsi="黑体" w:eastAsia="黑体"/>
                          <w:color w:val="000000"/>
                          <w:sz w:val="90"/>
                          <w:szCs w:val="90"/>
                        </w:rPr>
                        <w:t>第三部分 相关名词解释</w:t>
                      </w:r>
                    </w:p>
                  </w:txbxContent>
                </v:textbox>
              </v:shape>
            </w:pict>
          </mc:Fallback>
        </mc:AlternateContent>
      </w:r>
    </w:p>
    <w:p/>
    <w:p/>
    <w:p/>
    <w:p/>
    <w:p/>
    <w:p/>
    <w:p/>
    <w:p/>
    <w:p/>
    <w:p/>
    <w:p/>
    <w:p/>
    <w:p/>
    <w:p>
      <w:pPr>
        <w:tabs>
          <w:tab w:val="left" w:pos="886"/>
        </w:tabs>
        <w:jc w:val="left"/>
        <w:sectPr>
          <w:headerReference r:id="rId21" w:type="first"/>
          <w:pgSz w:w="11906" w:h="16838"/>
          <w:pgMar w:top="2041" w:right="1531" w:bottom="2041" w:left="1531" w:header="851" w:footer="992" w:gutter="0"/>
          <w:pgNumType w:fmt="numberInDash"/>
          <w:cols w:space="0" w:num="1"/>
          <w:titlePg/>
          <w:docGrid w:type="lines" w:linePitch="312" w:charSpace="0"/>
        </w:sectPr>
      </w:pPr>
    </w:p>
    <w:p>
      <w:pPr>
        <w:rPr>
          <w:rFonts w:ascii="仿宋_GB2312" w:hAnsi="宋体" w:eastAsia="仿宋_GB2312" w:cs="ArialUnicodeMS"/>
          <w:sz w:val="32"/>
          <w:szCs w:val="32"/>
          <w:highlight w:val="yellow"/>
        </w:rPr>
      </w:pPr>
      <w:r>
        <w:rPr>
          <w:rFonts w:hint="eastAsia" w:ascii="仿宋_GB2312" w:hAnsi="宋体" w:eastAsia="仿宋_GB2312" w:cs="ArialUnicodeMS"/>
          <w:sz w:val="32"/>
          <w:szCs w:val="32"/>
          <w:highlight w:val="yellow"/>
        </w:rPr>
        <w:br w:type="page"/>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（一）财政拨款收入：</w:t>
      </w:r>
      <w:r>
        <w:rPr>
          <w:rFonts w:hint="eastAsia" w:ascii="仿宋_GB2312" w:hAnsi="宋体" w:eastAsia="仿宋_GB2312" w:cs="Times New Roman"/>
          <w:color w:val="000000"/>
          <w:kern w:val="0"/>
          <w:sz w:val="32"/>
          <w:szCs w:val="32"/>
        </w:rPr>
        <w:t>本年度从本级财政部门取得的财政拨款，包括一般公共预算财政拨款和政府性基金预算财政拨款。</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（二）事业收入：</w:t>
      </w:r>
      <w:r>
        <w:rPr>
          <w:rFonts w:hint="eastAsia" w:ascii="仿宋_GB2312" w:hAnsi="宋体" w:eastAsia="仿宋_GB2312" w:cs="Times New Roman"/>
          <w:color w:val="000000"/>
          <w:kern w:val="0"/>
          <w:sz w:val="32"/>
          <w:szCs w:val="32"/>
        </w:rPr>
        <w:t>指事业单位开展专业业务活动及辅助活动所取得的收入。</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（三）其他收入：</w:t>
      </w:r>
      <w:r>
        <w:rPr>
          <w:rFonts w:hint="eastAsia" w:ascii="仿宋_GB2312" w:hAnsi="宋体" w:eastAsia="仿宋_GB2312" w:cs="Times New Roman"/>
          <w:color w:val="000000"/>
          <w:kern w:val="0"/>
          <w:sz w:val="32"/>
          <w:szCs w:val="32"/>
        </w:rPr>
        <w:t>指除上述“财政拨款收入”“事业收入”“经营收入”等以外的收入。</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（四）用事业基金弥补收支差额：</w:t>
      </w:r>
      <w:r>
        <w:rPr>
          <w:rFonts w:hint="eastAsia" w:ascii="仿宋_GB2312" w:hAnsi="宋体" w:eastAsia="仿宋_GB2312" w:cs="Times New Roman"/>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（五）年初结转和结余：</w:t>
      </w:r>
      <w:r>
        <w:rPr>
          <w:rFonts w:hint="eastAsia" w:ascii="仿宋_GB2312" w:hAnsi="宋体" w:eastAsia="仿宋_GB2312" w:cs="Times New Roman"/>
          <w:color w:val="000000"/>
          <w:kern w:val="0"/>
          <w:sz w:val="32"/>
          <w:szCs w:val="32"/>
        </w:rPr>
        <w:t>指以前年度尚未完成、结转到本年仍按原规定用途继续使用的资金，或项目已完成等产生的结余资金。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（六）结余分配：</w:t>
      </w:r>
      <w:r>
        <w:rPr>
          <w:rFonts w:hint="eastAsia" w:ascii="仿宋_GB2312" w:hAnsi="宋体" w:eastAsia="仿宋_GB2312" w:cs="Times New Roman"/>
          <w:color w:val="000000"/>
          <w:kern w:val="0"/>
          <w:sz w:val="32"/>
          <w:szCs w:val="32"/>
        </w:rPr>
        <w:t>指事业单位按照事业单位会计制度的规定从非财政补助结余中分配的事业基金和职工福利基金等。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（七）年末结转和结余：</w:t>
      </w:r>
      <w:r>
        <w:rPr>
          <w:rFonts w:hint="eastAsia" w:ascii="仿宋_GB2312" w:hAnsi="宋体" w:eastAsia="仿宋_GB2312" w:cs="Times New Roman"/>
          <w:color w:val="000000"/>
          <w:kern w:val="0"/>
          <w:sz w:val="32"/>
          <w:szCs w:val="32"/>
        </w:rPr>
        <w:t>指单位按有关规定结转到下年或以后年度继续使用的资金，或项目已完成等产生的结余资金。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（八）基本支出：</w:t>
      </w:r>
      <w:r>
        <w:rPr>
          <w:rFonts w:hint="eastAsia" w:ascii="仿宋_GB2312" w:hAnsi="宋体" w:eastAsia="仿宋_GB2312" w:cs="Times New Roman"/>
          <w:color w:val="000000"/>
          <w:kern w:val="0"/>
          <w:sz w:val="32"/>
          <w:szCs w:val="32"/>
        </w:rPr>
        <w:t>填列单位为保障机构正常运转、完成日常工作任务而发生的各项支出。</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（九）项目支出：</w:t>
      </w:r>
      <w:r>
        <w:rPr>
          <w:rFonts w:hint="eastAsia" w:ascii="仿宋_GB2312" w:hAnsi="宋体" w:eastAsia="仿宋_GB2312" w:cs="Times New Roman"/>
          <w:color w:val="000000"/>
          <w:kern w:val="0"/>
          <w:sz w:val="32"/>
          <w:szCs w:val="32"/>
        </w:rPr>
        <w:t>填列单位为完成特定的行政工作任务或事业发展目标，在基本支出之外发生的各项支出</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（十）基本建设支出：</w:t>
      </w:r>
      <w:r>
        <w:rPr>
          <w:rFonts w:hint="eastAsia" w:ascii="仿宋_GB2312" w:hAnsi="宋体" w:eastAsia="仿宋_GB2312"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（十一）其他资本性支出：</w:t>
      </w:r>
      <w:r>
        <w:rPr>
          <w:rFonts w:hint="eastAsia" w:ascii="仿宋_GB2312" w:hAnsi="宋体" w:eastAsia="仿宋_GB2312"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（十二）“三公”经费：</w:t>
      </w:r>
      <w:r>
        <w:rPr>
          <w:rFonts w:hint="eastAsia" w:ascii="仿宋_GB2312" w:hAnsi="宋体" w:eastAsia="仿宋_GB2312"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（十三）其他交通费用：</w:t>
      </w:r>
      <w:r>
        <w:rPr>
          <w:rFonts w:hint="eastAsia" w:ascii="仿宋_GB2312" w:hAnsi="宋体" w:eastAsia="仿宋_GB2312" w:cs="Times New Roman"/>
          <w:color w:val="000000"/>
          <w:kern w:val="0"/>
          <w:sz w:val="32"/>
          <w:szCs w:val="32"/>
        </w:rPr>
        <w:t>填列单位除公务用车运行维护费以外的其他交通费用。如公务交通补贴、租车费用、出租车费用，飞机、船舶等燃料费、维修费、保险费等。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（十四）公务用车购置：</w:t>
      </w:r>
      <w:r>
        <w:rPr>
          <w:rFonts w:hint="eastAsia" w:ascii="仿宋_GB2312" w:hAnsi="宋体" w:eastAsia="仿宋_GB2312" w:cs="Times New Roman"/>
          <w:color w:val="000000"/>
          <w:kern w:val="0"/>
          <w:sz w:val="32"/>
          <w:szCs w:val="32"/>
        </w:rPr>
        <w:t>填列单位公务用车车辆购置支出（含车辆购置税、牌照费）。</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（十五）其他交通工具购置：</w:t>
      </w:r>
      <w:r>
        <w:rPr>
          <w:rFonts w:hint="eastAsia" w:ascii="仿宋_GB2312" w:hAnsi="宋体" w:eastAsia="仿宋_GB2312" w:cs="Times New Roman"/>
          <w:color w:val="000000"/>
          <w:kern w:val="0"/>
          <w:sz w:val="32"/>
          <w:szCs w:val="32"/>
        </w:rPr>
        <w:t>填列单位除公务用车外的其他各类交通工具（如船舶、飞机等）购置支出（含车辆购置税、牌照费）。</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（十六）机关运行经费：</w:t>
      </w:r>
      <w:r>
        <w:rPr>
          <w:rFonts w:hint="eastAsia" w:ascii="仿宋_GB2312" w:hAnsi="宋体" w:eastAsia="仿宋_GB2312"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tabs>
          <w:tab w:val="left" w:pos="235"/>
        </w:tabs>
        <w:jc w:val="left"/>
      </w:pPr>
      <w:r>
        <w:rPr>
          <w:rFonts w:hint="eastAsia" w:ascii="仿宋_GB2312" w:hAnsi="宋体" w:eastAsia="仿宋_GB2312" w:cs="Times New Roman"/>
          <w:b/>
          <w:bCs/>
          <w:color w:val="000000"/>
          <w:kern w:val="0"/>
          <w:sz w:val="32"/>
          <w:szCs w:val="32"/>
        </w:rPr>
        <w:t>（十七）经费形式:</w:t>
      </w:r>
      <w:r>
        <w:rPr>
          <w:rFonts w:hint="eastAsia" w:ascii="仿宋_GB2312" w:hAnsi="宋体" w:eastAsia="仿宋_GB2312" w:cs="Times New Roman"/>
          <w:color w:val="000000"/>
          <w:kern w:val="0"/>
          <w:sz w:val="32"/>
          <w:szCs w:val="32"/>
        </w:rPr>
        <w:t>按照经费来源，</w:t>
      </w:r>
      <w:r>
        <w:rPr>
          <w:rFonts w:hint="eastAsia" w:ascii="仿宋_GB2312" w:hAnsi="Cambria" w:eastAsia="仿宋_GB2312" w:cs="ArialUnicodeMS"/>
          <w:kern w:val="0"/>
          <w:sz w:val="32"/>
          <w:szCs w:val="32"/>
        </w:rPr>
        <w:t>可分为财政拨款、财政性资金基本保证、财政性资金定额或定项补助、财政性资金零补助四类。</w:t>
      </w:r>
    </w:p>
    <w:p/>
    <w:p/>
    <w:p/>
    <w:p/>
    <w:p/>
    <w:p/>
    <w:p/>
    <w:p/>
    <w:p/>
    <w:p>
      <w:pPr>
        <w:jc w:val="left"/>
        <w:sectPr>
          <w:headerReference r:id="rId22" w:type="default"/>
          <w:type w:val="continuous"/>
          <w:pgSz w:w="11906" w:h="16838"/>
          <w:pgMar w:top="2098" w:right="1474" w:bottom="1985" w:left="1588" w:header="851" w:footer="992" w:gutter="0"/>
          <w:pgNumType w:fmt="numberInDash"/>
          <w:cols w:space="425" w:num="1"/>
          <w:docGrid w:type="lines" w:linePitch="312" w:charSpace="0"/>
        </w:sectPr>
      </w:pPr>
    </w:p>
    <w:p>
      <w:pPr>
        <w:tabs>
          <w:tab w:val="left" w:pos="235"/>
        </w:tabs>
        <w:jc w:val="left"/>
        <w:sectPr>
          <w:headerReference r:id="rId23" w:type="default"/>
          <w:pgSz w:w="11906" w:h="16838"/>
          <w:pgMar w:top="2098" w:right="1474" w:bottom="1985" w:left="1588" w:header="851" w:footer="992" w:gutter="0"/>
          <w:pgNumType w:fmt="numberInDash"/>
          <w:cols w:space="425" w:num="1"/>
          <w:docGrid w:type="lines" w:linePitch="312" w:charSpace="0"/>
        </w:sectPr>
      </w:pPr>
      <w:r>
        <w:rPr>
          <w:sz w:val="72"/>
        </w:rPr>
        <mc:AlternateContent>
          <mc:Choice Requires="wps">
            <w:drawing>
              <wp:anchor distT="0" distB="0" distL="114300" distR="114300" simplePos="0" relativeHeight="251669504" behindDoc="0" locked="0" layoutInCell="1" allowOverlap="1">
                <wp:simplePos x="0" y="0"/>
                <wp:positionH relativeFrom="column">
                  <wp:posOffset>-1042035</wp:posOffset>
                </wp:positionH>
                <wp:positionV relativeFrom="paragraph">
                  <wp:posOffset>1725295</wp:posOffset>
                </wp:positionV>
                <wp:extent cx="7793355" cy="3341370"/>
                <wp:effectExtent l="4445" t="4445" r="12700" b="6985"/>
                <wp:wrapNone/>
                <wp:docPr id="15" name="文本框 229"/>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rgbClr val="FFFFFF"/>
                          </a:bgClr>
                        </a:pattFill>
                        <a:ln w="6350" cap="flat" cmpd="sng">
                          <a:solidFill>
                            <a:srgbClr val="FFD966"/>
                          </a:solidFill>
                          <a:prstDash val="solid"/>
                          <a:miter/>
                          <a:headEnd type="none" w="med" len="med"/>
                          <a:tailEnd type="none" w="med" len="med"/>
                        </a:ln>
                      </wps:spPr>
                      <wps:txbx>
                        <w:txbxContent>
                          <w:p>
                            <w:pPr>
                              <w:widowControl/>
                              <w:jc w:val="center"/>
                              <w:rPr>
                                <w:rFonts w:ascii="黑体" w:hAnsi="黑体" w:eastAsia="黑体"/>
                                <w:color w:val="000000"/>
                                <w:sz w:val="90"/>
                                <w:szCs w:val="90"/>
                              </w:rPr>
                            </w:pPr>
                            <w:r>
                              <w:rPr>
                                <w:rFonts w:hint="eastAsia" w:ascii="黑体" w:hAnsi="黑体" w:eastAsia="黑体"/>
                                <w:color w:val="000000"/>
                                <w:sz w:val="90"/>
                                <w:szCs w:val="90"/>
                              </w:rPr>
                              <w:t xml:space="preserve">第四部分 </w:t>
                            </w:r>
                          </w:p>
                          <w:p>
                            <w:pPr>
                              <w:widowControl/>
                              <w:jc w:val="center"/>
                            </w:pPr>
                            <w:r>
                              <w:rPr>
                                <w:rFonts w:hint="eastAsia" w:ascii="黑体" w:hAnsi="黑体" w:eastAsia="黑体"/>
                                <w:color w:val="000000"/>
                                <w:sz w:val="90"/>
                                <w:szCs w:val="90"/>
                              </w:rPr>
                              <w:t>2019年度部门决算报表</w:t>
                            </w:r>
                          </w:p>
                        </w:txbxContent>
                      </wps:txbx>
                      <wps:bodyPr anchor="ctr" anchorCtr="0" upright="1"/>
                    </wps:wsp>
                  </a:graphicData>
                </a:graphic>
              </wp:anchor>
            </w:drawing>
          </mc:Choice>
          <mc:Fallback>
            <w:pict>
              <v:shape id="文本框 229" o:spid="_x0000_s1026" o:spt="202" type="#_x0000_t202" style="position:absolute;left:0pt;margin-left:-82.05pt;margin-top:135.85pt;height:263.1pt;width:613.65pt;z-index:251669504;v-text-anchor:middle;mso-width-relative:page;mso-height-relative:page;" fillcolor="#FFD966" filled="t" stroked="t" coordsize="21600,21600" o:gfxdata="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BGGoOK3AAAAA0BAAAPAAAAAAAAAAEAIAAAACIAAABk&#10;cnMvZG93bnJldi54bWxQSwECFAAUAAAACACHTuJA7Cw8tjsCAACeBAAADgAAAAAAAAABACAAAAAr&#10;AQAAZHJzL2Uyb0RvYy54bWxQSwUGAAAAAAYABgBZAQAA2AUAAAAA&#10;">
                <v:fill type="pattern" on="t" color2="#FFFFFF" o:title="5%" focussize="0,0" r:id="rId28"/>
                <v:stroke weight="0.5pt" color="#FFD966" joinstyle="miter"/>
                <v:imagedata o:title=""/>
                <o:lock v:ext="edit" aspectratio="f"/>
                <v:textbox>
                  <w:txbxContent>
                    <w:p>
                      <w:pPr>
                        <w:widowControl/>
                        <w:jc w:val="center"/>
                        <w:rPr>
                          <w:rFonts w:ascii="黑体" w:hAnsi="黑体" w:eastAsia="黑体"/>
                          <w:color w:val="000000"/>
                          <w:sz w:val="90"/>
                          <w:szCs w:val="90"/>
                        </w:rPr>
                      </w:pPr>
                      <w:r>
                        <w:rPr>
                          <w:rFonts w:hint="eastAsia" w:ascii="黑体" w:hAnsi="黑体" w:eastAsia="黑体"/>
                          <w:color w:val="000000"/>
                          <w:sz w:val="90"/>
                          <w:szCs w:val="90"/>
                        </w:rPr>
                        <w:t xml:space="preserve">第四部分 </w:t>
                      </w:r>
                    </w:p>
                    <w:p>
                      <w:pPr>
                        <w:widowControl/>
                        <w:jc w:val="center"/>
                      </w:pPr>
                      <w:r>
                        <w:rPr>
                          <w:rFonts w:hint="eastAsia" w:ascii="黑体" w:hAnsi="黑体" w:eastAsia="黑体"/>
                          <w:color w:val="000000"/>
                          <w:sz w:val="90"/>
                          <w:szCs w:val="90"/>
                        </w:rPr>
                        <w:t>2019年度部门决算报表</w:t>
                      </w:r>
                    </w:p>
                  </w:txbxContent>
                </v:textbox>
              </v:shape>
            </w:pict>
          </mc:Fallback>
        </mc:AlternateContent>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1800" w:firstLineChars="450"/>
        <w:rPr>
          <w:rFonts w:ascii="黑体" w:hAnsi="Times New Roman" w:eastAsia="黑体" w:cs="Times New Roman"/>
          <w:sz w:val="32"/>
          <w:szCs w:val="40"/>
        </w:rPr>
      </w:pPr>
      <w:r>
        <w:rPr>
          <w:rFonts w:hint="eastAsia" w:ascii="黑体" w:hAnsi="宋体" w:eastAsia="黑体"/>
          <w:color w:val="000000"/>
          <w:kern w:val="0"/>
          <w:sz w:val="40"/>
          <w:szCs w:val="40"/>
        </w:rPr>
        <w:t>2019年</w:t>
      </w:r>
      <w:r>
        <w:rPr>
          <w:rFonts w:ascii="黑体" w:hAnsi="宋体" w:eastAsia="黑体"/>
          <w:color w:val="000000"/>
          <w:kern w:val="0"/>
          <w:sz w:val="40"/>
          <w:szCs w:val="40"/>
        </w:rPr>
        <w:t>部门决算报表见</w:t>
      </w:r>
      <w:r>
        <w:rPr>
          <w:rFonts w:hint="eastAsia" w:ascii="黑体" w:hAnsi="宋体" w:eastAsia="黑体"/>
          <w:color w:val="000000"/>
          <w:kern w:val="0"/>
          <w:sz w:val="40"/>
          <w:szCs w:val="40"/>
        </w:rPr>
        <w:t>附表</w:t>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widowControl/>
        <w:jc w:val="left"/>
        <w:rPr>
          <w:rFonts w:ascii="黑体" w:hAnsi="Times New Roman" w:eastAsia="黑体" w:cs="Times New Roman"/>
          <w:sz w:val="32"/>
          <w:szCs w:val="40"/>
        </w:rPr>
      </w:pPr>
      <w:r>
        <w:rPr>
          <w:rFonts w:ascii="黑体" w:hAnsi="Times New Roman" w:eastAsia="黑体" w:cs="Times New Roman"/>
          <w:sz w:val="32"/>
          <w:szCs w:val="40"/>
        </w:rPr>
        <w:br w:type="page"/>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1440" w:firstLineChars="200"/>
        <w:rPr>
          <w:rFonts w:ascii="黑体" w:hAnsi="Times New Roman" w:eastAsia="黑体" w:cs="Times New Roman"/>
          <w:sz w:val="32"/>
          <w:szCs w:val="40"/>
        </w:rPr>
      </w:pPr>
      <w:r>
        <w:rPr>
          <w:sz w:val="72"/>
        </w:rPr>
        <mc:AlternateContent>
          <mc:Choice Requires="wps">
            <w:drawing>
              <wp:anchor distT="0" distB="0" distL="114300" distR="114300" simplePos="0" relativeHeight="251670528" behindDoc="0" locked="0" layoutInCell="1" allowOverlap="1">
                <wp:simplePos x="0" y="0"/>
                <wp:positionH relativeFrom="column">
                  <wp:posOffset>-876300</wp:posOffset>
                </wp:positionH>
                <wp:positionV relativeFrom="paragraph">
                  <wp:posOffset>372745</wp:posOffset>
                </wp:positionV>
                <wp:extent cx="7793355" cy="3341370"/>
                <wp:effectExtent l="4445" t="4445" r="12700" b="6985"/>
                <wp:wrapNone/>
                <wp:docPr id="16" name="文本框 26"/>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rgbClr val="FFFFFF"/>
                          </a:bgClr>
                        </a:pattFill>
                        <a:ln w="6350" cap="flat" cmpd="sng">
                          <a:solidFill>
                            <a:srgbClr val="FFD966"/>
                          </a:solidFill>
                          <a:prstDash val="solid"/>
                          <a:miter/>
                          <a:headEnd type="none" w="med" len="med"/>
                          <a:tailEnd type="none" w="med" len="med"/>
                        </a:ln>
                      </wps:spPr>
                      <wps:txbx>
                        <w:txbxContent>
                          <w:p>
                            <w:pPr>
                              <w:widowControl/>
                              <w:jc w:val="center"/>
                              <w:rPr>
                                <w:rFonts w:ascii="黑体" w:hAnsi="黑体" w:eastAsia="黑体"/>
                                <w:color w:val="000000"/>
                                <w:sz w:val="90"/>
                                <w:szCs w:val="90"/>
                              </w:rPr>
                            </w:pPr>
                            <w:r>
                              <w:rPr>
                                <w:rFonts w:hint="eastAsia" w:ascii="黑体" w:hAnsi="黑体" w:eastAsia="黑体"/>
                                <w:color w:val="000000"/>
                                <w:sz w:val="90"/>
                                <w:szCs w:val="90"/>
                              </w:rPr>
                              <w:t xml:space="preserve">第五部分 </w:t>
                            </w:r>
                          </w:p>
                          <w:p>
                            <w:pPr>
                              <w:widowControl/>
                              <w:jc w:val="center"/>
                            </w:pPr>
                            <w:r>
                              <w:rPr>
                                <w:rFonts w:hint="eastAsia" w:ascii="黑体" w:hAnsi="黑体" w:eastAsia="黑体"/>
                                <w:color w:val="000000"/>
                                <w:sz w:val="90"/>
                                <w:szCs w:val="90"/>
                              </w:rPr>
                              <w:t>预算绩效</w:t>
                            </w:r>
                            <w:r>
                              <w:rPr>
                                <w:rFonts w:ascii="黑体" w:hAnsi="黑体" w:eastAsia="黑体"/>
                                <w:color w:val="000000"/>
                                <w:sz w:val="90"/>
                                <w:szCs w:val="90"/>
                              </w:rPr>
                              <w:t>公开内容</w:t>
                            </w:r>
                          </w:p>
                        </w:txbxContent>
                      </wps:txbx>
                      <wps:bodyPr anchor="ctr" anchorCtr="0" upright="1"/>
                    </wps:wsp>
                  </a:graphicData>
                </a:graphic>
              </wp:anchor>
            </w:drawing>
          </mc:Choice>
          <mc:Fallback>
            <w:pict>
              <v:shape id="文本框 26" o:spid="_x0000_s1026" o:spt="202" type="#_x0000_t202" style="position:absolute;left:0pt;margin-left:-69pt;margin-top:29.35pt;height:263.1pt;width:613.65pt;z-index:251670528;v-text-anchor:middle;mso-width-relative:page;mso-height-relative:page;" fillcolor="#FFD966" filled="t" stroked="t" coordsize="21600,21600" o:gfxdata="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DewpQvbAAAADAEAAA8AAAAAAAAAAQAgAAAAIgAAAGRy&#10;cy9kb3ducmV2LnhtbFBLAQIUABQAAAAIAIdO4kDsJa5pOwIAAJ0EAAAOAAAAAAAAAAEAIAAAACoB&#10;AABkcnMvZTJvRG9jLnhtbFBLBQYAAAAABgAGAFkBAADXBQAAAAA=&#10;">
                <v:fill type="pattern" on="t" color2="#FFFFFF" o:title="5%" focussize="0,0" r:id="rId28"/>
                <v:stroke weight="0.5pt" color="#FFD966" joinstyle="miter"/>
                <v:imagedata o:title=""/>
                <o:lock v:ext="edit" aspectratio="f"/>
                <v:textbox>
                  <w:txbxContent>
                    <w:p>
                      <w:pPr>
                        <w:widowControl/>
                        <w:jc w:val="center"/>
                        <w:rPr>
                          <w:rFonts w:ascii="黑体" w:hAnsi="黑体" w:eastAsia="黑体"/>
                          <w:color w:val="000000"/>
                          <w:sz w:val="90"/>
                          <w:szCs w:val="90"/>
                        </w:rPr>
                      </w:pPr>
                      <w:r>
                        <w:rPr>
                          <w:rFonts w:hint="eastAsia" w:ascii="黑体" w:hAnsi="黑体" w:eastAsia="黑体"/>
                          <w:color w:val="000000"/>
                          <w:sz w:val="90"/>
                          <w:szCs w:val="90"/>
                        </w:rPr>
                        <w:t xml:space="preserve">第五部分 </w:t>
                      </w:r>
                    </w:p>
                    <w:p>
                      <w:pPr>
                        <w:widowControl/>
                        <w:jc w:val="center"/>
                      </w:pPr>
                      <w:r>
                        <w:rPr>
                          <w:rFonts w:hint="eastAsia" w:ascii="黑体" w:hAnsi="黑体" w:eastAsia="黑体"/>
                          <w:color w:val="000000"/>
                          <w:sz w:val="90"/>
                          <w:szCs w:val="90"/>
                        </w:rPr>
                        <w:t>预算绩效</w:t>
                      </w:r>
                      <w:r>
                        <w:rPr>
                          <w:rFonts w:ascii="黑体" w:hAnsi="黑体" w:eastAsia="黑体"/>
                          <w:color w:val="000000"/>
                          <w:sz w:val="90"/>
                          <w:szCs w:val="90"/>
                        </w:rPr>
                        <w:t>公开内容</w:t>
                      </w:r>
                    </w:p>
                  </w:txbxContent>
                </v:textbox>
              </v:shape>
            </w:pict>
          </mc:Fallback>
        </mc:AlternateContent>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r>
        <w:rPr>
          <w:rFonts w:hint="eastAsia" w:ascii="黑体" w:hAnsi="Times New Roman" w:eastAsia="黑体" w:cs="Times New Roman"/>
          <w:sz w:val="32"/>
          <w:szCs w:val="40"/>
        </w:rPr>
        <w:t>一</w:t>
      </w:r>
      <w:r>
        <w:rPr>
          <w:rFonts w:ascii="黑体" w:hAnsi="Times New Roman" w:eastAsia="黑体" w:cs="Times New Roman"/>
          <w:sz w:val="32"/>
          <w:szCs w:val="40"/>
        </w:rPr>
        <w:t>、</w:t>
      </w:r>
      <w:r>
        <w:rPr>
          <w:rFonts w:hint="eastAsia" w:ascii="黑体" w:hAnsi="Times New Roman" w:eastAsia="黑体" w:cs="Times New Roman"/>
          <w:sz w:val="32"/>
          <w:szCs w:val="40"/>
        </w:rPr>
        <w:t>预算绩效情况说明</w:t>
      </w:r>
    </w:p>
    <w:p>
      <w:pPr>
        <w:pStyle w:val="14"/>
        <w:spacing w:line="583" w:lineRule="auto"/>
        <w:ind w:firstLine="420"/>
        <w:jc w:val="both"/>
        <w:rPr>
          <w:sz w:val="32"/>
          <w:szCs w:val="32"/>
        </w:rPr>
      </w:pPr>
      <w:r>
        <w:rPr>
          <w:b/>
          <w:color w:val="000000"/>
          <w:sz w:val="32"/>
          <w:szCs w:val="32"/>
        </w:rPr>
        <w:t>（一）预算绩效管理工作开展情况</w:t>
      </w:r>
    </w:p>
    <w:p>
      <w:pPr>
        <w:pStyle w:val="8"/>
        <w:shd w:val="clear" w:color="auto" w:fill="FFFFFF"/>
        <w:spacing w:before="0" w:beforeAutospacing="0" w:after="0" w:afterAutospacing="0" w:line="480" w:lineRule="auto"/>
        <w:ind w:firstLine="640" w:firstLineChars="200"/>
        <w:jc w:val="both"/>
        <w:rPr>
          <w:rFonts w:ascii="仿宋_GB2312" w:hAnsi="Times New Roman" w:eastAsia="仿宋_GB2312" w:cs="Times New Roman"/>
          <w:color w:val="000000"/>
          <w:sz w:val="32"/>
          <w:szCs w:val="32"/>
        </w:rPr>
      </w:pPr>
      <w:r>
        <w:rPr>
          <w:rFonts w:hint="eastAsia" w:ascii="仿宋_GB2312" w:hAnsi="Times New Roman" w:eastAsia="仿宋_GB2312" w:cs="Times New Roman"/>
          <w:color w:val="000000"/>
          <w:sz w:val="32"/>
          <w:szCs w:val="32"/>
        </w:rPr>
        <w:t>根据预算绩效管理要求，本部门</w:t>
      </w:r>
      <w:r>
        <w:rPr>
          <w:rFonts w:hint="eastAsia" w:ascii="仿宋_GB2312" w:eastAsia="仿宋_GB2312"/>
          <w:color w:val="000000"/>
          <w:sz w:val="32"/>
          <w:szCs w:val="32"/>
        </w:rPr>
        <w:t>对2019年度整体绩效实现情况和项目支出情况开展绩效评价。组织对2019年度</w:t>
      </w:r>
      <w:r>
        <w:rPr>
          <w:rFonts w:hint="eastAsia" w:ascii="仿宋_GB2312" w:hAnsi="Times New Roman" w:eastAsia="仿宋_GB2312" w:cs="Times New Roman"/>
          <w:color w:val="000000"/>
          <w:sz w:val="32"/>
          <w:szCs w:val="32"/>
        </w:rPr>
        <w:t>一般公共预算项目支出全面开展绩效自评，项目4个，涉及资金449.2万元，占一般公共预算项目支出总额的100%。组织对“纪律审查项目”、“巡察工作项目”“乡镇纪律审查项目”“八一退役军人慰问项目”等4个项目开展了部门评价，涉及一般公共预算支出449.2万元，政府性基金预算支出0万元</w:t>
      </w:r>
      <w:r>
        <w:rPr>
          <w:rFonts w:hint="eastAsia" w:ascii="仿宋_GB2312" w:eastAsia="仿宋_GB2312"/>
          <w:color w:val="000000"/>
          <w:sz w:val="32"/>
          <w:szCs w:val="32"/>
        </w:rPr>
        <w:t>。</w:t>
      </w:r>
      <w:r>
        <w:rPr>
          <w:rFonts w:hint="eastAsia" w:ascii="仿宋_GB2312" w:hAnsi="Times New Roman" w:eastAsia="仿宋_GB2312" w:cs="Times New Roman"/>
          <w:color w:val="000000"/>
          <w:sz w:val="32"/>
          <w:szCs w:val="32"/>
        </w:rPr>
        <w:t>从评价情况来看，2019年纪委监委及巡察机构全年预算资金465.54万元，保障了各项工作的顺利开展，发挥了纪委监委及巡察机构对全县各单位进行纪律审查及巡察工作的开展。挽回经济损失</w:t>
      </w:r>
      <w:r>
        <w:rPr>
          <w:rFonts w:ascii="仿宋_GB2312" w:hAnsi="Times New Roman" w:eastAsia="仿宋_GB2312" w:cs="Times New Roman"/>
          <w:color w:val="000000"/>
          <w:sz w:val="32"/>
          <w:szCs w:val="32"/>
        </w:rPr>
        <w:t>400.36</w:t>
      </w:r>
      <w:r>
        <w:rPr>
          <w:rFonts w:hint="eastAsia" w:ascii="仿宋_GB2312" w:hAnsi="Times New Roman" w:eastAsia="仿宋_GB2312" w:cs="Times New Roman"/>
          <w:color w:val="000000"/>
          <w:sz w:val="32"/>
          <w:szCs w:val="32"/>
        </w:rPr>
        <w:t>万元，发现并纠正涉及“六个围绕”方面的问题282个。</w:t>
      </w:r>
    </w:p>
    <w:p>
      <w:pPr>
        <w:pStyle w:val="13"/>
        <w:numPr>
          <w:ilvl w:val="0"/>
          <w:numId w:val="4"/>
        </w:numPr>
        <w:adjustRightInd w:val="0"/>
        <w:snapToGrid w:val="0"/>
        <w:spacing w:line="580" w:lineRule="exact"/>
        <w:ind w:firstLineChars="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部门绩效评价结果。</w:t>
      </w:r>
    </w:p>
    <w:p>
      <w:pPr>
        <w:pStyle w:val="13"/>
        <w:spacing w:line="584" w:lineRule="exact"/>
        <w:ind w:left="161" w:firstLine="643"/>
        <w:rPr>
          <w:rFonts w:eastAsia="仿宋_GB2312"/>
          <w:color w:val="000000"/>
          <w:sz w:val="32"/>
          <w:szCs w:val="32"/>
        </w:rPr>
      </w:pPr>
      <w:r>
        <w:rPr>
          <w:rFonts w:ascii="Times New Roman" w:hAnsi="Times New Roman" w:eastAsia="仿宋_GB2312" w:cs="Times New Roman"/>
          <w:b/>
          <w:bCs/>
          <w:color w:val="000000"/>
          <w:sz w:val="32"/>
          <w:szCs w:val="32"/>
        </w:rPr>
        <w:t>1.项目绩效自评结果。</w:t>
      </w:r>
      <w:r>
        <w:rPr>
          <w:rFonts w:ascii="Times New Roman" w:hAnsi="Times New Roman" w:eastAsia="仿宋_GB2312" w:cs="Times New Roman"/>
          <w:color w:val="000000"/>
          <w:sz w:val="32"/>
          <w:szCs w:val="32"/>
        </w:rPr>
        <w:t>本部门2019 年度对</w:t>
      </w:r>
      <w:r>
        <w:rPr>
          <w:rFonts w:hint="eastAsia" w:ascii="Times New Roman" w:hAnsi="Times New Roman" w:eastAsia="仿宋_GB2312" w:cs="Times New Roman"/>
          <w:color w:val="000000"/>
          <w:sz w:val="32"/>
          <w:szCs w:val="32"/>
        </w:rPr>
        <w:t>4</w:t>
      </w:r>
      <w:r>
        <w:rPr>
          <w:rFonts w:ascii="Times New Roman" w:hAnsi="Times New Roman" w:eastAsia="仿宋_GB2312" w:cs="Times New Roman"/>
          <w:color w:val="000000"/>
          <w:sz w:val="32"/>
          <w:szCs w:val="32"/>
        </w:rPr>
        <w:t>个项目进行了绩效自评，项目自评结果90 分以上</w:t>
      </w:r>
      <w:r>
        <w:rPr>
          <w:rFonts w:hint="eastAsia" w:ascii="Times New Roman" w:hAnsi="Times New Roman" w:eastAsia="仿宋_GB2312" w:cs="Times New Roman"/>
          <w:color w:val="000000"/>
          <w:sz w:val="32"/>
          <w:szCs w:val="32"/>
        </w:rPr>
        <w:t>的3</w:t>
      </w:r>
      <w:r>
        <w:rPr>
          <w:rFonts w:ascii="Times New Roman" w:hAnsi="Times New Roman" w:eastAsia="仿宋_GB2312" w:cs="Times New Roman"/>
          <w:color w:val="000000"/>
          <w:sz w:val="32"/>
          <w:szCs w:val="32"/>
        </w:rPr>
        <w:t>项，80 -90分的</w:t>
      </w:r>
      <w:r>
        <w:rPr>
          <w:rFonts w:hint="eastAsia" w:ascii="Times New Roman" w:hAnsi="Times New Roman" w:eastAsia="仿宋_GB2312" w:cs="Times New Roman"/>
          <w:color w:val="000000"/>
          <w:sz w:val="32"/>
          <w:szCs w:val="32"/>
        </w:rPr>
        <w:t>1</w:t>
      </w:r>
      <w:r>
        <w:rPr>
          <w:rFonts w:ascii="Times New Roman" w:hAnsi="Times New Roman" w:eastAsia="仿宋_GB2312" w:cs="Times New Roman"/>
          <w:color w:val="000000"/>
          <w:sz w:val="32"/>
          <w:szCs w:val="32"/>
        </w:rPr>
        <w:t>项，80分以下的</w:t>
      </w:r>
      <w:r>
        <w:rPr>
          <w:rFonts w:hint="eastAsia" w:ascii="Times New Roman" w:hAnsi="Times New Roman" w:eastAsia="仿宋_GB2312" w:cs="Times New Roman"/>
          <w:color w:val="000000"/>
          <w:sz w:val="32"/>
          <w:szCs w:val="32"/>
        </w:rPr>
        <w:t>0</w:t>
      </w:r>
      <w:r>
        <w:rPr>
          <w:rFonts w:ascii="Times New Roman" w:hAnsi="Times New Roman" w:eastAsia="仿宋_GB2312" w:cs="Times New Roman"/>
          <w:color w:val="000000"/>
          <w:sz w:val="32"/>
          <w:szCs w:val="32"/>
        </w:rPr>
        <w:t>项。在部门决算公开中反映</w:t>
      </w:r>
      <w:r>
        <w:rPr>
          <w:rFonts w:hint="eastAsia" w:ascii="Times New Roman" w:hAnsi="Times New Roman" w:eastAsia="仿宋_GB2312" w:cs="Times New Roman"/>
          <w:color w:val="000000"/>
          <w:sz w:val="32"/>
          <w:szCs w:val="32"/>
        </w:rPr>
        <w:t>纪律审查</w:t>
      </w:r>
      <w:r>
        <w:rPr>
          <w:rFonts w:ascii="Times New Roman" w:hAnsi="Times New Roman" w:eastAsia="仿宋_GB2312" w:cs="Times New Roman"/>
          <w:color w:val="000000"/>
          <w:sz w:val="32"/>
          <w:szCs w:val="32"/>
        </w:rPr>
        <w:t>项目</w:t>
      </w:r>
      <w:r>
        <w:rPr>
          <w:rFonts w:hint="eastAsia" w:ascii="Times New Roman" w:hAnsi="Times New Roman" w:eastAsia="仿宋_GB2312" w:cs="Times New Roman"/>
          <w:color w:val="000000"/>
          <w:sz w:val="32"/>
          <w:szCs w:val="32"/>
        </w:rPr>
        <w:t>、巡察工作项目、乡镇纪律审查项目</w:t>
      </w:r>
      <w:r>
        <w:rPr>
          <w:rFonts w:ascii="Times New Roman" w:hAnsi="Times New Roman" w:eastAsia="仿宋_GB2312" w:cs="Times New Roman"/>
          <w:color w:val="000000"/>
          <w:sz w:val="32"/>
          <w:szCs w:val="32"/>
        </w:rPr>
        <w:t>及</w:t>
      </w:r>
      <w:r>
        <w:rPr>
          <w:rFonts w:hint="eastAsia" w:ascii="Times New Roman" w:hAnsi="Times New Roman" w:eastAsia="仿宋_GB2312" w:cs="Times New Roman"/>
          <w:color w:val="000000"/>
          <w:sz w:val="32"/>
          <w:szCs w:val="32"/>
        </w:rPr>
        <w:t>八一退役军人慰问</w:t>
      </w:r>
      <w:r>
        <w:rPr>
          <w:rFonts w:ascii="Times New Roman" w:hAnsi="Times New Roman" w:eastAsia="仿宋_GB2312" w:cs="Times New Roman"/>
          <w:color w:val="000000"/>
          <w:sz w:val="32"/>
          <w:szCs w:val="32"/>
        </w:rPr>
        <w:t>项目等</w:t>
      </w:r>
      <w:r>
        <w:rPr>
          <w:rFonts w:hint="eastAsia" w:ascii="Times New Roman" w:hAnsi="Times New Roman" w:eastAsia="仿宋_GB2312" w:cs="Times New Roman"/>
          <w:color w:val="000000"/>
          <w:sz w:val="32"/>
          <w:szCs w:val="32"/>
        </w:rPr>
        <w:t>4</w:t>
      </w:r>
      <w:r>
        <w:rPr>
          <w:rFonts w:ascii="Times New Roman" w:hAnsi="Times New Roman" w:eastAsia="仿宋_GB2312" w:cs="Times New Roman"/>
          <w:color w:val="000000"/>
          <w:sz w:val="32"/>
          <w:szCs w:val="32"/>
        </w:rPr>
        <w:t>个项目绩效自评结果。</w:t>
      </w:r>
    </w:p>
    <w:p>
      <w:pPr>
        <w:spacing w:line="540" w:lineRule="exact"/>
        <w:ind w:firstLine="640" w:firstLineChars="200"/>
        <w:rPr>
          <w:rFonts w:ascii="Times New Roman" w:hAnsi="Times New Roman" w:eastAsia="仿宋_GB2312" w:cs="Times New Roman"/>
          <w:sz w:val="32"/>
          <w:szCs w:val="32"/>
        </w:rPr>
      </w:pPr>
      <w:r>
        <w:rPr>
          <w:rFonts w:hint="eastAsia" w:ascii="仿宋_GB2312" w:hAnsi="仿宋_GB2312" w:eastAsia="仿宋_GB2312" w:cs="仿宋_GB2312"/>
          <w:sz w:val="32"/>
          <w:szCs w:val="32"/>
        </w:rPr>
        <w:t>（1）纪律审查项目自评综述：根据年初设定的绩效目标，纪律审查项目绩效自评得分为96.6分（绩效自评表附后）。全年预算数为340万元，执行数为328.33万元，完成预算的96.57%。项目绩效目标完成情况：一是</w:t>
      </w:r>
      <w:r>
        <w:rPr>
          <w:rFonts w:ascii="Times New Roman" w:hAnsi="Times New Roman" w:eastAsia="仿宋_GB2312" w:cs="Times New Roman"/>
          <w:sz w:val="32"/>
          <w:szCs w:val="32"/>
        </w:rPr>
        <w:t>实</w:t>
      </w:r>
      <w:r>
        <w:rPr>
          <w:rFonts w:hint="eastAsia" w:ascii="Times New Roman" w:hAnsi="Times New Roman" w:eastAsia="仿宋_GB2312" w:cs="Times New Roman"/>
          <w:sz w:val="32"/>
          <w:szCs w:val="32"/>
        </w:rPr>
        <w:t>现了</w:t>
      </w:r>
      <w:r>
        <w:rPr>
          <w:rFonts w:ascii="Times New Roman" w:hAnsi="Times New Roman" w:eastAsia="仿宋_GB2312" w:cs="Times New Roman"/>
          <w:sz w:val="32"/>
          <w:szCs w:val="32"/>
        </w:rPr>
        <w:t>“两个维护”，强化政治监督，加强</w:t>
      </w:r>
      <w:r>
        <w:rPr>
          <w:rFonts w:hint="eastAsia" w:ascii="Times New Roman" w:hAnsi="Times New Roman" w:eastAsia="仿宋_GB2312" w:cs="Times New Roman"/>
          <w:sz w:val="32"/>
          <w:szCs w:val="32"/>
        </w:rPr>
        <w:t>了</w:t>
      </w:r>
      <w:r>
        <w:rPr>
          <w:rFonts w:ascii="Times New Roman" w:hAnsi="Times New Roman" w:eastAsia="仿宋_GB2312" w:cs="Times New Roman"/>
          <w:sz w:val="32"/>
          <w:szCs w:val="32"/>
        </w:rPr>
        <w:t>对各级党组织和党员领导干部执行党章党规党纪、贯彻党的路线方针政策、落实党中央重大决策部署情况的监督检查，保障政令畅通、令行禁止。</w:t>
      </w:r>
      <w:r>
        <w:rPr>
          <w:rFonts w:hint="eastAsia" w:ascii="Times New Roman" w:hAnsi="Times New Roman" w:eastAsia="仿宋_GB2312" w:cs="Times New Roman"/>
          <w:sz w:val="32"/>
          <w:szCs w:val="32"/>
        </w:rPr>
        <w:t>二是</w:t>
      </w:r>
      <w:r>
        <w:rPr>
          <w:rFonts w:ascii="Times New Roman" w:hAnsi="Times New Roman" w:eastAsia="仿宋_GB2312" w:cs="Times New Roman"/>
          <w:sz w:val="32"/>
          <w:szCs w:val="32"/>
        </w:rPr>
        <w:t>大力整治形式主义、官僚主义，针对县环保局制定整改“回头看”方案照抄照搬问题，对3名科级干部问责追责，纪律处分1人、诫勉谈话1人、批评教育1人。始终保持惩腐高压态势，2019年共立结案</w:t>
      </w:r>
      <w:r>
        <w:rPr>
          <w:rFonts w:hint="eastAsia" w:ascii="Times New Roman" w:hAnsi="Times New Roman" w:eastAsia="仿宋_GB2312" w:cs="Times New Roman"/>
          <w:sz w:val="32"/>
          <w:szCs w:val="32"/>
        </w:rPr>
        <w:t>143</w:t>
      </w:r>
      <w:r>
        <w:rPr>
          <w:rFonts w:ascii="Times New Roman" w:hAnsi="Times New Roman" w:eastAsia="仿宋_GB2312" w:cs="Times New Roman"/>
          <w:sz w:val="32"/>
          <w:szCs w:val="32"/>
        </w:rPr>
        <w:t>件，纪律处分</w:t>
      </w:r>
      <w:r>
        <w:rPr>
          <w:rFonts w:hint="eastAsia" w:ascii="Times New Roman" w:hAnsi="Times New Roman" w:eastAsia="仿宋_GB2312" w:cs="Times New Roman"/>
          <w:sz w:val="32"/>
          <w:szCs w:val="32"/>
        </w:rPr>
        <w:t>143</w:t>
      </w:r>
      <w:r>
        <w:rPr>
          <w:rFonts w:ascii="Times New Roman" w:hAnsi="Times New Roman" w:eastAsia="仿宋_GB2312" w:cs="Times New Roman"/>
          <w:sz w:val="32"/>
          <w:szCs w:val="32"/>
        </w:rPr>
        <w:t>人（其中科级16人），</w:t>
      </w:r>
      <w:r>
        <w:rPr>
          <w:rFonts w:hint="eastAsia" w:ascii="Times New Roman" w:hAnsi="Times New Roman" w:eastAsia="仿宋_GB2312" w:cs="Times New Roman"/>
          <w:sz w:val="32"/>
          <w:szCs w:val="32"/>
        </w:rPr>
        <w:t>实现了持续正风肃纪，高压惩治腐败，扎实推进政治生态建设，为全县的经济社会发展提供坚强的纪律保障。发现的主要问题及原因：一是由于我委机构改革，人员增加，造成单位调整预算福度较大，预算控制率偏高；二是由于案件查处工作的不确定性，使得项目预算数不精准。下一步改进措施：一是细化预算编制工作，认真做好预算的编制。全面编制预算项目，优先保障固定性的、相对刚性的费用支出项目，尽量压缩变动性的、有控制空间的费用项目，进一步提高预算编制的科学性、严谨性和可控性，提高预算的合理性和准确性。二是积极采取措施，结合县财政提供学习培训机会，针对预算绩效管理工作开展系统的培训，加强把握工作重点，提高预算绩效管理工作水平。</w:t>
      </w:r>
    </w:p>
    <w:p>
      <w:pPr>
        <w:widowControl/>
        <w:shd w:val="clear" w:color="auto" w:fill="FFFFFF"/>
        <w:spacing w:line="580" w:lineRule="atLeast"/>
        <w:ind w:firstLine="640"/>
        <w:jc w:val="left"/>
        <w:rPr>
          <w:rFonts w:ascii="仿宋_GB2312" w:hAnsi="仿宋_GB2312" w:eastAsia="仿宋_GB2312" w:cs="仿宋_GB2312"/>
          <w:sz w:val="32"/>
          <w:szCs w:val="32"/>
        </w:rPr>
      </w:pPr>
      <w:r>
        <w:rPr>
          <w:rFonts w:hint="eastAsia" w:ascii="Times New Roman" w:hAnsi="Times New Roman" w:eastAsia="仿宋_GB2312" w:cs="Times New Roman"/>
          <w:sz w:val="32"/>
          <w:szCs w:val="32"/>
        </w:rPr>
        <w:t>（2）巡察工作项目绩效自评综述：根据年初设定的绩效目标，巡察工作项目绩效自评得分为97.3分（绩效自评表附后）。全年预算数为50万元，执行数为49万元，完成预算的98%。项目绩效目标完成情况：2019年</w:t>
      </w:r>
      <w:r>
        <w:rPr>
          <w:rFonts w:ascii="Times New Roman" w:hAnsi="Times New Roman" w:eastAsia="仿宋_GB2312" w:cs="Times New Roman"/>
          <w:sz w:val="32"/>
          <w:szCs w:val="32"/>
        </w:rPr>
        <w:t>共</w:t>
      </w:r>
      <w:r>
        <w:rPr>
          <w:rFonts w:hint="eastAsia" w:ascii="Times New Roman" w:hAnsi="Times New Roman" w:eastAsia="仿宋_GB2312" w:cs="Times New Roman"/>
          <w:sz w:val="32"/>
          <w:szCs w:val="32"/>
        </w:rPr>
        <w:t>巡察了17单位</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共发现并纠正涉及“六个围绕”方面的问题282个问题。同时，</w:t>
      </w:r>
      <w:r>
        <w:rPr>
          <w:rFonts w:ascii="Times New Roman" w:hAnsi="Times New Roman" w:eastAsia="仿宋_GB2312" w:cs="Times New Roman"/>
          <w:sz w:val="32"/>
          <w:szCs w:val="32"/>
        </w:rPr>
        <w:t>完成对香河县住建局、交通局交叉巡察任务；配合市委完成市级常规巡察任务、人防系统腐败问题机动巡察和民生领域巡察“回头看</w:t>
      </w:r>
      <w:r>
        <w:rPr>
          <w:rFonts w:hint="eastAsia" w:ascii="Times New Roman" w:hAnsi="Times New Roman" w:eastAsia="仿宋_GB2312" w:cs="Times New Roman"/>
          <w:sz w:val="32"/>
          <w:szCs w:val="32"/>
        </w:rPr>
        <w:t>”</w:t>
      </w:r>
      <w:r>
        <w:rPr>
          <w:rFonts w:hint="eastAsia" w:ascii="仿宋_GB2312" w:hAnsi="仿宋_GB2312" w:eastAsia="仿宋_GB2312" w:cs="仿宋_GB2312"/>
          <w:sz w:val="32"/>
          <w:szCs w:val="32"/>
        </w:rPr>
        <w:t>。发现的主要问题及原因：一是由于巡察机构办公地点的变换及人员调整，使得预算编制不够精确。</w:t>
      </w:r>
      <w:r>
        <w:rPr>
          <w:rFonts w:hint="eastAsia" w:ascii="Times New Roman" w:hAnsi="Times New Roman" w:eastAsia="仿宋_GB2312" w:cs="Times New Roman"/>
          <w:sz w:val="32"/>
          <w:szCs w:val="32"/>
        </w:rPr>
        <w:t>缺乏资金使用的绩效目标管理方法及经验。</w:t>
      </w:r>
      <w:r>
        <w:rPr>
          <w:rFonts w:hint="eastAsia" w:ascii="仿宋_GB2312" w:hAnsi="仿宋_GB2312" w:eastAsia="仿宋_GB2312" w:cs="仿宋_GB2312"/>
          <w:sz w:val="32"/>
          <w:szCs w:val="32"/>
        </w:rPr>
        <w:t>二是巡察工作的不确定性，使得年初预算安排不足。下一步改进措施：</w:t>
      </w:r>
      <w:r>
        <w:rPr>
          <w:rFonts w:hint="eastAsia" w:ascii="仿宋" w:hAnsi="仿宋" w:eastAsia="仿宋" w:cs="仿宋_GB2312"/>
          <w:sz w:val="32"/>
          <w:szCs w:val="32"/>
          <w:shd w:val="clear" w:color="auto" w:fill="FFFFFF"/>
        </w:rPr>
        <w:t>一是</w:t>
      </w:r>
      <w:r>
        <w:rPr>
          <w:rFonts w:hint="eastAsia" w:ascii="Times New Roman" w:hAnsi="Times New Roman" w:eastAsia="仿宋_GB2312" w:cs="Times New Roman"/>
          <w:sz w:val="32"/>
          <w:szCs w:val="32"/>
        </w:rPr>
        <w:t>进一步细化资金收支预算，坚持厉行节约，保障财政资金安全、高效，让财政资金效益最大化。</w:t>
      </w:r>
      <w:r>
        <w:rPr>
          <w:rFonts w:hint="eastAsia" w:ascii="仿宋" w:hAnsi="仿宋" w:eastAsia="仿宋" w:cs="仿宋_GB2312"/>
          <w:sz w:val="32"/>
          <w:szCs w:val="32"/>
          <w:shd w:val="clear" w:color="auto" w:fill="FFFFFF"/>
        </w:rPr>
        <w:t>严格按照项目资金编制管理要求加强项目资金预算、项目计划编制、实施保障措施的制定工作；二是加大项目责任制落实，明确项目责任主体，及时掌控项目的进展和资金使用情况，及时纠正偏离预算绩效目标的行为，确保项目顺利完成。</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（3）乡镇纪律审查项目自评综述：乡镇纪律审查项目绩效自评得分为88.4分（绩效自评表附后）。全年预算数为75万元，执行数为71.87万元，完成预算的95.83%。项目绩效目标完成情况：</w:t>
      </w:r>
      <w:r>
        <w:rPr>
          <w:rFonts w:ascii="Times New Roman" w:hAnsi="Times New Roman" w:eastAsia="仿宋_GB2312" w:cs="Times New Roman"/>
          <w:sz w:val="32"/>
          <w:szCs w:val="32"/>
        </w:rPr>
        <w:t>2019年共立结案</w:t>
      </w:r>
      <w:r>
        <w:rPr>
          <w:rFonts w:hint="eastAsia" w:ascii="Times New Roman" w:hAnsi="Times New Roman" w:eastAsia="仿宋_GB2312" w:cs="Times New Roman"/>
          <w:sz w:val="32"/>
          <w:szCs w:val="32"/>
        </w:rPr>
        <w:t>15</w:t>
      </w:r>
      <w:r>
        <w:rPr>
          <w:rFonts w:ascii="Times New Roman" w:hAnsi="Times New Roman" w:eastAsia="仿宋_GB2312" w:cs="Times New Roman"/>
          <w:sz w:val="32"/>
          <w:szCs w:val="32"/>
        </w:rPr>
        <w:t>件，</w:t>
      </w:r>
      <w:r>
        <w:rPr>
          <w:rFonts w:hint="eastAsia" w:ascii="仿宋_GB2312" w:hAnsi="仿宋_GB2312" w:eastAsia="仿宋_GB2312" w:cs="仿宋_GB2312"/>
          <w:sz w:val="32"/>
          <w:szCs w:val="32"/>
        </w:rPr>
        <w:t>进一步强化乡镇纪委的工作职能，聚焦主业，切实落实好党风廉政建设和反腐败斗争各项工作任务，发挥好应承担的职能作用，持续正风肃纪，高压惩治腐败，</w:t>
      </w:r>
      <w:r>
        <w:rPr>
          <w:rFonts w:hint="eastAsia" w:ascii="仿宋_GB2312" w:hAnsi="仿宋_GB2312" w:eastAsia="仿宋_GB2312" w:cs="仿宋_GB2312"/>
          <w:sz w:val="32"/>
          <w:szCs w:val="32"/>
          <w:lang w:eastAsia="zh-CN"/>
        </w:rPr>
        <w:t>全面从严治党</w:t>
      </w:r>
      <w:r>
        <w:rPr>
          <w:rFonts w:hint="eastAsia" w:ascii="仿宋_GB2312" w:hAnsi="仿宋_GB2312" w:eastAsia="仿宋_GB2312" w:cs="仿宋_GB2312"/>
          <w:sz w:val="32"/>
          <w:szCs w:val="32"/>
        </w:rPr>
        <w:t>向纵深发展，向基层延伸。根据年初设定的绩效目标，发现的主要问题及原因：一是各乡镇纪委办案力量不足，由于乡镇纪委人员配备较少，管辖事务较多，无法覆盖全面。二是由于各乡镇纪委工作开展进度不同，使得各乡镇纪委对预算资金的使用不均衡。下一步改进措施：一是加强县纪委对乡镇纪委的管理力度，分口负责，以上带下，更好的组织乡镇纪检监察工作的开展。二是及时与各乡镇纪委沟通，确保预算的编制与使用做到准确合理。</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八一退役军人慰问项目自评综述：八一退役军人慰问项目绩效自评得分为92分（绩效自评表附后）。全年预算数为0.54万元，执行数为0.27万元，完成预算的50%。项目绩效目标完成情况：八一期间做好拥军优属，拥政爱民工作，进一步巩固和加强军政军民团结。发现的主要问题及原因：一是年初预算的准确性。下一步改进措施：做到预算准确、发放及时。</w:t>
      </w:r>
    </w:p>
    <w:p>
      <w:pPr>
        <w:keepNext/>
        <w:keepLines/>
        <w:snapToGrid w:val="0"/>
        <w:spacing w:line="580" w:lineRule="exact"/>
        <w:ind w:firstLine="321" w:firstLineChars="100"/>
        <w:jc w:val="left"/>
        <w:outlineLvl w:val="1"/>
        <w:rPr>
          <w:rFonts w:ascii="Times New Roman" w:hAnsi="Times New Roman" w:eastAsia="仿宋_GB2312" w:cs="Times New Roman"/>
          <w:color w:val="000000"/>
          <w:sz w:val="32"/>
          <w:szCs w:val="32"/>
        </w:rPr>
      </w:pPr>
      <w:r>
        <w:rPr>
          <w:rFonts w:hint="eastAsia" w:ascii="Times New Roman" w:hAnsi="Times New Roman" w:eastAsia="仿宋_GB2312" w:cs="Times New Roman"/>
          <w:b/>
          <w:bCs/>
          <w:color w:val="000000"/>
          <w:sz w:val="32"/>
          <w:szCs w:val="32"/>
        </w:rPr>
        <w:t>2</w:t>
      </w:r>
      <w:r>
        <w:rPr>
          <w:rFonts w:ascii="Times New Roman" w:hAnsi="Times New Roman" w:eastAsia="仿宋_GB2312" w:cs="Times New Roman"/>
          <w:b/>
          <w:bCs/>
          <w:color w:val="000000"/>
          <w:sz w:val="32"/>
          <w:szCs w:val="32"/>
        </w:rPr>
        <w:t>.财政评价项目绩效评价结果</w:t>
      </w:r>
      <w:r>
        <w:rPr>
          <w:rFonts w:hint="eastAsia" w:ascii="Times New Roman" w:hAnsi="Times New Roman" w:eastAsia="仿宋_GB2312" w:cs="Times New Roman"/>
          <w:color w:val="000000"/>
          <w:sz w:val="32"/>
          <w:szCs w:val="32"/>
        </w:rPr>
        <w:t>。</w:t>
      </w:r>
    </w:p>
    <w:p>
      <w:pPr>
        <w:keepNext/>
        <w:keepLines/>
        <w:snapToGrid w:val="0"/>
        <w:spacing w:line="580" w:lineRule="exact"/>
        <w:ind w:firstLine="320" w:firstLineChars="100"/>
        <w:jc w:val="left"/>
        <w:outlineLvl w:val="1"/>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无</w:t>
      </w:r>
    </w:p>
    <w:p>
      <w:pPr>
        <w:keepNext/>
        <w:keepLines/>
        <w:snapToGrid w:val="0"/>
        <w:spacing w:line="580" w:lineRule="exact"/>
        <w:ind w:firstLine="321" w:firstLineChars="100"/>
        <w:jc w:val="left"/>
        <w:outlineLvl w:val="1"/>
        <w:rPr>
          <w:rFonts w:ascii="Times New Roman" w:hAnsi="Times New Roman" w:eastAsia="仿宋_GB2312" w:cs="Times New Roman"/>
          <w:b/>
          <w:bCs/>
          <w:color w:val="000000"/>
          <w:sz w:val="32"/>
          <w:szCs w:val="32"/>
        </w:rPr>
      </w:pPr>
      <w:r>
        <w:rPr>
          <w:rFonts w:hint="eastAsia" w:ascii="Times New Roman" w:hAnsi="Times New Roman" w:eastAsia="仿宋_GB2312" w:cs="Times New Roman"/>
          <w:b/>
          <w:bCs/>
          <w:color w:val="000000"/>
          <w:sz w:val="32"/>
          <w:szCs w:val="32"/>
        </w:rPr>
        <w:t>3、部门整体绩效自评结果。</w:t>
      </w:r>
    </w:p>
    <w:p>
      <w:pPr>
        <w:keepNext/>
        <w:keepLines/>
        <w:snapToGrid w:val="0"/>
        <w:spacing w:line="580" w:lineRule="exact"/>
        <w:ind w:firstLine="320" w:firstLineChars="100"/>
        <w:jc w:val="left"/>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本部门对2019年度部门整体绩效进行自评价，自评得分84.306分，评价等级为良。从评价情况来看，我委较好完成了2019 年履行职能职责和各项重点工作任务，整体绩效情况较为理想，总体上达到了预算绩效管理的要求。</w:t>
      </w:r>
    </w:p>
    <w:p>
      <w:pPr>
        <w:pStyle w:val="14"/>
        <w:spacing w:line="580" w:lineRule="auto"/>
        <w:ind w:firstLine="420"/>
        <w:rPr>
          <w:rFonts w:ascii="Times New Roman" w:hAnsi="Times New Roman" w:eastAsia="仿宋_GB2312" w:cs="Times New Roman"/>
          <w:color w:val="000000"/>
          <w:sz w:val="32"/>
          <w:szCs w:val="32"/>
        </w:rPr>
      </w:pPr>
      <w:r>
        <w:rPr>
          <w:rFonts w:hint="eastAsia" w:ascii="宋体" w:hAnsi="宋体" w:eastAsia="宋体" w:cs="宋体"/>
          <w:b/>
          <w:bCs/>
          <w:color w:val="000000"/>
          <w:sz w:val="32"/>
          <w:szCs w:val="32"/>
        </w:rPr>
        <w:t>二、绩效公开表格</w:t>
      </w:r>
    </w:p>
    <w:p>
      <w:pPr>
        <w:keepNext/>
        <w:keepLines/>
        <w:snapToGrid w:val="0"/>
        <w:spacing w:line="580" w:lineRule="exact"/>
        <w:ind w:firstLine="320" w:firstLineChars="100"/>
        <w:jc w:val="left"/>
        <w:outlineLvl w:val="1"/>
        <w:rPr>
          <w:rFonts w:ascii="Times New Roman" w:hAnsi="Times New Roman" w:eastAsia="仿宋_GB2312" w:cs="Times New Roman"/>
          <w:color w:val="000000"/>
          <w:sz w:val="32"/>
          <w:szCs w:val="32"/>
        </w:rPr>
      </w:pPr>
    </w:p>
    <w:p>
      <w:pPr>
        <w:keepNext/>
        <w:keepLines/>
        <w:snapToGrid w:val="0"/>
        <w:spacing w:line="580" w:lineRule="exact"/>
        <w:ind w:firstLine="320" w:firstLineChars="100"/>
        <w:jc w:val="left"/>
        <w:outlineLvl w:val="1"/>
        <w:rPr>
          <w:rFonts w:ascii="Times New Roman" w:hAnsi="Times New Roman" w:eastAsia="仿宋_GB2312" w:cs="Times New Roman"/>
          <w:color w:val="000000"/>
          <w:sz w:val="32"/>
          <w:szCs w:val="32"/>
        </w:rPr>
      </w:pPr>
    </w:p>
    <w:p>
      <w:pPr>
        <w:keepNext/>
        <w:keepLines/>
        <w:snapToGrid w:val="0"/>
        <w:spacing w:line="580" w:lineRule="exact"/>
        <w:ind w:firstLine="320" w:firstLineChars="100"/>
        <w:jc w:val="left"/>
        <w:outlineLvl w:val="1"/>
        <w:rPr>
          <w:rFonts w:ascii="Times New Roman" w:hAnsi="Times New Roman" w:eastAsia="仿宋_GB2312" w:cs="Times New Roman"/>
          <w:color w:val="000000"/>
          <w:sz w:val="32"/>
          <w:szCs w:val="32"/>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tbl>
      <w:tblPr>
        <w:tblStyle w:val="9"/>
        <w:tblW w:w="8908" w:type="dxa"/>
        <w:tblInd w:w="15" w:type="dxa"/>
        <w:tblLayout w:type="fixed"/>
        <w:tblCellMar>
          <w:top w:w="0" w:type="dxa"/>
          <w:left w:w="0" w:type="dxa"/>
          <w:bottom w:w="0" w:type="dxa"/>
          <w:right w:w="0" w:type="dxa"/>
        </w:tblCellMar>
      </w:tblPr>
      <w:tblGrid>
        <w:gridCol w:w="589"/>
        <w:gridCol w:w="629"/>
        <w:gridCol w:w="1473"/>
        <w:gridCol w:w="733"/>
        <w:gridCol w:w="978"/>
        <w:gridCol w:w="27"/>
        <w:gridCol w:w="999"/>
        <w:gridCol w:w="932"/>
        <w:gridCol w:w="197"/>
        <w:gridCol w:w="338"/>
        <w:gridCol w:w="436"/>
        <w:gridCol w:w="113"/>
        <w:gridCol w:w="787"/>
        <w:gridCol w:w="650"/>
        <w:gridCol w:w="27"/>
      </w:tblGrid>
      <w:tr>
        <w:tblPrEx>
          <w:tblCellMar>
            <w:top w:w="0" w:type="dxa"/>
            <w:left w:w="0" w:type="dxa"/>
            <w:bottom w:w="0" w:type="dxa"/>
            <w:right w:w="0" w:type="dxa"/>
          </w:tblCellMar>
        </w:tblPrEx>
        <w:trPr>
          <w:gridAfter w:val="1"/>
          <w:wAfter w:w="27" w:type="dxa"/>
          <w:trHeight w:val="373" w:hRule="atLeast"/>
        </w:trPr>
        <w:tc>
          <w:tcPr>
            <w:tcW w:w="8881" w:type="dxa"/>
            <w:gridSpan w:val="14"/>
            <w:tcBorders>
              <w:top w:val="nil"/>
              <w:left w:val="nil"/>
              <w:bottom w:val="nil"/>
              <w:right w:val="nil"/>
              <w:tl2br w:val="nil"/>
              <w:tr2bl w:val="nil"/>
            </w:tcBorders>
            <w:tcMar>
              <w:top w:w="15" w:type="dxa"/>
              <w:left w:w="15" w:type="dxa"/>
              <w:right w:w="15" w:type="dxa"/>
            </w:tcMar>
            <w:vAlign w:val="center"/>
          </w:tcPr>
          <w:p>
            <w:pPr>
              <w:widowControl/>
              <w:jc w:val="center"/>
              <w:textAlignment w:val="center"/>
              <w:rPr>
                <w:rFonts w:eastAsia="仿宋_GB2312"/>
                <w:color w:val="000000"/>
                <w:sz w:val="24"/>
                <w:szCs w:val="28"/>
              </w:rPr>
            </w:pPr>
            <w:r>
              <w:rPr>
                <w:rFonts w:eastAsia="方正小标宋简体"/>
                <w:kern w:val="0"/>
                <w:sz w:val="44"/>
                <w:szCs w:val="44"/>
              </w:rPr>
              <w:t>项目支出绩效自评表</w:t>
            </w:r>
          </w:p>
        </w:tc>
      </w:tr>
      <w:tr>
        <w:tblPrEx>
          <w:tblCellMar>
            <w:top w:w="0" w:type="dxa"/>
            <w:left w:w="0" w:type="dxa"/>
            <w:bottom w:w="0" w:type="dxa"/>
            <w:right w:w="0" w:type="dxa"/>
          </w:tblCellMar>
        </w:tblPrEx>
        <w:trPr>
          <w:trHeight w:val="258" w:hRule="atLeast"/>
        </w:trPr>
        <w:tc>
          <w:tcPr>
            <w:tcW w:w="8908" w:type="dxa"/>
            <w:gridSpan w:val="15"/>
            <w:tcBorders>
              <w:top w:val="nil"/>
              <w:left w:val="nil"/>
              <w:bottom w:val="nil"/>
              <w:right w:val="nil"/>
              <w:tl2br w:val="nil"/>
              <w:tr2bl w:val="nil"/>
            </w:tcBorders>
          </w:tcPr>
          <w:p>
            <w:pPr>
              <w:widowControl/>
              <w:spacing w:line="240" w:lineRule="exact"/>
              <w:jc w:val="center"/>
              <w:rPr>
                <w:kern w:val="0"/>
                <w:sz w:val="22"/>
              </w:rPr>
            </w:pPr>
            <w:r>
              <w:rPr>
                <w:rFonts w:eastAsia="仿宋_GB2312"/>
                <w:kern w:val="0"/>
                <w:sz w:val="24"/>
              </w:rPr>
              <w:t>（</w:t>
            </w:r>
            <w:r>
              <w:rPr>
                <w:rFonts w:hint="eastAsia" w:eastAsia="仿宋_GB2312"/>
                <w:kern w:val="0"/>
                <w:sz w:val="24"/>
              </w:rPr>
              <w:t>2019</w:t>
            </w:r>
            <w:r>
              <w:rPr>
                <w:rFonts w:eastAsia="仿宋_GB2312"/>
                <w:kern w:val="0"/>
                <w:sz w:val="24"/>
              </w:rPr>
              <w:t>年度）</w:t>
            </w:r>
          </w:p>
        </w:tc>
      </w:tr>
      <w:tr>
        <w:tblPrEx>
          <w:tblCellMar>
            <w:top w:w="0" w:type="dxa"/>
            <w:left w:w="0" w:type="dxa"/>
            <w:bottom w:w="0" w:type="dxa"/>
            <w:right w:w="0" w:type="dxa"/>
          </w:tblCellMar>
        </w:tblPrEx>
        <w:trPr>
          <w:trHeight w:val="622" w:hRule="atLeast"/>
        </w:trPr>
        <w:tc>
          <w:tcPr>
            <w:tcW w:w="1218"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项目名称</w:t>
            </w:r>
          </w:p>
        </w:tc>
        <w:tc>
          <w:tcPr>
            <w:tcW w:w="7690" w:type="dxa"/>
            <w:gridSpan w:val="1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纪律审查项目</w:t>
            </w:r>
          </w:p>
        </w:tc>
      </w:tr>
      <w:tr>
        <w:tblPrEx>
          <w:tblCellMar>
            <w:top w:w="0" w:type="dxa"/>
            <w:left w:w="0" w:type="dxa"/>
            <w:bottom w:w="0" w:type="dxa"/>
            <w:right w:w="0" w:type="dxa"/>
          </w:tblCellMar>
        </w:tblPrEx>
        <w:trPr>
          <w:trHeight w:val="473" w:hRule="atLeast"/>
        </w:trPr>
        <w:tc>
          <w:tcPr>
            <w:tcW w:w="1218"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主管部门</w:t>
            </w:r>
          </w:p>
        </w:tc>
        <w:tc>
          <w:tcPr>
            <w:tcW w:w="4210" w:type="dxa"/>
            <w:gridSpan w:val="5"/>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c>
          <w:tcPr>
            <w:tcW w:w="112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实施单位</w:t>
            </w:r>
          </w:p>
        </w:tc>
        <w:tc>
          <w:tcPr>
            <w:tcW w:w="2351"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r>
      <w:tr>
        <w:tblPrEx>
          <w:tblCellMar>
            <w:top w:w="0" w:type="dxa"/>
            <w:left w:w="0" w:type="dxa"/>
            <w:bottom w:w="0" w:type="dxa"/>
            <w:right w:w="0" w:type="dxa"/>
          </w:tblCellMar>
        </w:tblPrEx>
        <w:trPr>
          <w:trHeight w:val="473" w:hRule="atLeast"/>
        </w:trPr>
        <w:tc>
          <w:tcPr>
            <w:tcW w:w="1218" w:type="dxa"/>
            <w:gridSpan w:val="2"/>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项目资金</w:t>
            </w:r>
            <w:r>
              <w:rPr>
                <w:rFonts w:eastAsia="仿宋_GB2312"/>
                <w:kern w:val="0"/>
                <w:sz w:val="24"/>
              </w:rPr>
              <w:br w:type="textWrapping"/>
            </w:r>
            <w:r>
              <w:rPr>
                <w:rFonts w:eastAsia="仿宋_GB2312"/>
                <w:kern w:val="0"/>
                <w:sz w:val="24"/>
              </w:rPr>
              <w:t>（万元）</w:t>
            </w:r>
          </w:p>
        </w:tc>
        <w:tc>
          <w:tcPr>
            <w:tcW w:w="220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年初</w:t>
            </w:r>
          </w:p>
          <w:p>
            <w:pPr>
              <w:widowControl/>
              <w:spacing w:line="240" w:lineRule="exact"/>
              <w:jc w:val="center"/>
              <w:rPr>
                <w:rFonts w:eastAsia="仿宋_GB2312"/>
                <w:kern w:val="0"/>
                <w:sz w:val="24"/>
              </w:rPr>
            </w:pPr>
            <w:r>
              <w:rPr>
                <w:rFonts w:eastAsia="仿宋_GB2312"/>
                <w:kern w:val="0"/>
                <w:sz w:val="24"/>
              </w:rPr>
              <w:t>预算数</w:t>
            </w:r>
          </w:p>
        </w:tc>
        <w:tc>
          <w:tcPr>
            <w:tcW w:w="999"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预算数</w:t>
            </w:r>
          </w:p>
        </w:tc>
        <w:tc>
          <w:tcPr>
            <w:tcW w:w="112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执行数</w:t>
            </w:r>
          </w:p>
        </w:tc>
        <w:tc>
          <w:tcPr>
            <w:tcW w:w="774"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900"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执行率</w:t>
            </w:r>
          </w:p>
        </w:tc>
        <w:tc>
          <w:tcPr>
            <w:tcW w:w="67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r>
      <w:tr>
        <w:tblPrEx>
          <w:tblCellMar>
            <w:top w:w="0" w:type="dxa"/>
            <w:left w:w="0" w:type="dxa"/>
            <w:bottom w:w="0" w:type="dxa"/>
            <w:right w:w="0" w:type="dxa"/>
          </w:tblCellMar>
        </w:tblPrEx>
        <w:trPr>
          <w:trHeight w:val="569" w:hRule="atLeast"/>
        </w:trPr>
        <w:tc>
          <w:tcPr>
            <w:tcW w:w="1218"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20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eastAsia="仿宋_GB2312"/>
                <w:kern w:val="0"/>
                <w:sz w:val="24"/>
              </w:rPr>
              <w:t>年度资金总额</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340</w:t>
            </w:r>
          </w:p>
        </w:tc>
        <w:tc>
          <w:tcPr>
            <w:tcW w:w="999"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340</w:t>
            </w:r>
          </w:p>
        </w:tc>
        <w:tc>
          <w:tcPr>
            <w:tcW w:w="112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328.33</w:t>
            </w:r>
          </w:p>
        </w:tc>
        <w:tc>
          <w:tcPr>
            <w:tcW w:w="774"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900"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96.57</w:t>
            </w:r>
            <w:r>
              <w:rPr>
                <w:rFonts w:eastAsia="仿宋_GB2312"/>
                <w:kern w:val="0"/>
                <w:sz w:val="24"/>
              </w:rPr>
              <w:t>%</w:t>
            </w:r>
          </w:p>
        </w:tc>
        <w:tc>
          <w:tcPr>
            <w:tcW w:w="67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9.7</w:t>
            </w:r>
          </w:p>
        </w:tc>
      </w:tr>
      <w:tr>
        <w:tblPrEx>
          <w:tblCellMar>
            <w:top w:w="0" w:type="dxa"/>
            <w:left w:w="0" w:type="dxa"/>
            <w:bottom w:w="0" w:type="dxa"/>
            <w:right w:w="0" w:type="dxa"/>
          </w:tblCellMar>
        </w:tblPrEx>
        <w:trPr>
          <w:trHeight w:val="563" w:hRule="atLeast"/>
        </w:trPr>
        <w:tc>
          <w:tcPr>
            <w:tcW w:w="1218"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20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其中：当年财政拨款</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340</w:t>
            </w:r>
          </w:p>
        </w:tc>
        <w:tc>
          <w:tcPr>
            <w:tcW w:w="999"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340</w:t>
            </w:r>
          </w:p>
        </w:tc>
        <w:tc>
          <w:tcPr>
            <w:tcW w:w="112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328.33</w:t>
            </w:r>
          </w:p>
        </w:tc>
        <w:tc>
          <w:tcPr>
            <w:tcW w:w="774"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900"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96.57</w:t>
            </w:r>
            <w:r>
              <w:rPr>
                <w:rFonts w:eastAsia="仿宋_GB2312"/>
                <w:kern w:val="0"/>
                <w:sz w:val="24"/>
              </w:rPr>
              <w:t>%</w:t>
            </w:r>
          </w:p>
        </w:tc>
        <w:tc>
          <w:tcPr>
            <w:tcW w:w="67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557" w:hRule="atLeast"/>
        </w:trPr>
        <w:tc>
          <w:tcPr>
            <w:tcW w:w="1218"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20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 xml:space="preserve">      上年结转资金</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9"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4"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900"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7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403" w:hRule="atLeast"/>
        </w:trPr>
        <w:tc>
          <w:tcPr>
            <w:tcW w:w="1218"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20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 xml:space="preserve">  其他资金</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9"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4"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900"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7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557" w:hRule="atLeast"/>
        </w:trPr>
        <w:tc>
          <w:tcPr>
            <w:tcW w:w="589"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年度总体目标</w:t>
            </w:r>
          </w:p>
        </w:tc>
        <w:tc>
          <w:tcPr>
            <w:tcW w:w="4839"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预期目标</w:t>
            </w:r>
          </w:p>
        </w:tc>
        <w:tc>
          <w:tcPr>
            <w:tcW w:w="3480" w:type="dxa"/>
            <w:gridSpan w:val="8"/>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实际完成情况</w:t>
            </w:r>
          </w:p>
        </w:tc>
      </w:tr>
      <w:tr>
        <w:tblPrEx>
          <w:tblCellMar>
            <w:top w:w="0" w:type="dxa"/>
            <w:left w:w="0" w:type="dxa"/>
            <w:bottom w:w="0" w:type="dxa"/>
            <w:right w:w="0" w:type="dxa"/>
          </w:tblCellMar>
        </w:tblPrEx>
        <w:trPr>
          <w:trHeight w:val="144" w:hRule="atLeast"/>
        </w:trPr>
        <w:tc>
          <w:tcPr>
            <w:tcW w:w="589" w:type="dxa"/>
            <w:vMerge w:val="continue"/>
            <w:tcBorders>
              <w:top w:val="nil"/>
              <w:left w:val="single" w:color="auto" w:sz="4" w:space="0"/>
              <w:bottom w:val="single" w:color="auto" w:sz="4" w:space="0"/>
              <w:right w:val="single" w:color="auto" w:sz="4" w:space="0"/>
              <w:tl2br w:val="nil"/>
              <w:tr2bl w:val="nil"/>
            </w:tcBorders>
            <w:vAlign w:val="center"/>
          </w:tcPr>
          <w:p/>
        </w:tc>
        <w:tc>
          <w:tcPr>
            <w:tcW w:w="4839"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维护党纪国法尊严，坚决惩处腐败分子，有效遏制腐败现象。</w:t>
            </w:r>
          </w:p>
        </w:tc>
        <w:tc>
          <w:tcPr>
            <w:tcW w:w="3480" w:type="dxa"/>
            <w:gridSpan w:val="8"/>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实现了维护党纪国法尊严，坚决惩处腐败分子，有效遏制腐败现象。</w:t>
            </w:r>
          </w:p>
        </w:tc>
      </w:tr>
      <w:tr>
        <w:tblPrEx>
          <w:tblCellMar>
            <w:top w:w="0" w:type="dxa"/>
            <w:left w:w="0" w:type="dxa"/>
            <w:bottom w:w="0" w:type="dxa"/>
            <w:right w:w="0" w:type="dxa"/>
          </w:tblCellMar>
        </w:tblPrEx>
        <w:trPr>
          <w:trHeight w:val="701" w:hRule="atLeast"/>
        </w:trPr>
        <w:tc>
          <w:tcPr>
            <w:tcW w:w="589" w:type="dxa"/>
            <w:vMerge w:val="restart"/>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绩</w:t>
            </w:r>
            <w:r>
              <w:rPr>
                <w:rFonts w:eastAsia="仿宋_GB2312"/>
                <w:kern w:val="0"/>
                <w:sz w:val="24"/>
              </w:rPr>
              <w:br w:type="textWrapping"/>
            </w:r>
            <w:r>
              <w:rPr>
                <w:rFonts w:eastAsia="仿宋_GB2312"/>
                <w:kern w:val="0"/>
                <w:sz w:val="24"/>
              </w:rPr>
              <w:t>效</w:t>
            </w:r>
            <w:r>
              <w:rPr>
                <w:rFonts w:eastAsia="仿宋_GB2312"/>
                <w:kern w:val="0"/>
                <w:sz w:val="24"/>
              </w:rPr>
              <w:br w:type="textWrapping"/>
            </w:r>
            <w:r>
              <w:rPr>
                <w:rFonts w:eastAsia="仿宋_GB2312"/>
                <w:kern w:val="0"/>
                <w:sz w:val="24"/>
              </w:rPr>
              <w:t>指</w:t>
            </w:r>
            <w:r>
              <w:rPr>
                <w:rFonts w:eastAsia="仿宋_GB2312"/>
                <w:kern w:val="0"/>
                <w:sz w:val="24"/>
              </w:rPr>
              <w:br w:type="textWrapping"/>
            </w:r>
            <w:r>
              <w:rPr>
                <w:rFonts w:eastAsia="仿宋_GB2312"/>
                <w:kern w:val="0"/>
                <w:sz w:val="24"/>
              </w:rPr>
              <w:t>标</w:t>
            </w:r>
          </w:p>
        </w:tc>
        <w:tc>
          <w:tcPr>
            <w:tcW w:w="629"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一级指标</w:t>
            </w:r>
          </w:p>
        </w:tc>
        <w:tc>
          <w:tcPr>
            <w:tcW w:w="147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二级指标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三级指标</w:t>
            </w:r>
          </w:p>
        </w:tc>
        <w:tc>
          <w:tcPr>
            <w:tcW w:w="102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w:t>
            </w:r>
          </w:p>
          <w:p>
            <w:pPr>
              <w:widowControl/>
              <w:spacing w:line="240" w:lineRule="exact"/>
              <w:jc w:val="center"/>
              <w:rPr>
                <w:rFonts w:eastAsia="仿宋_GB2312"/>
                <w:kern w:val="0"/>
                <w:sz w:val="24"/>
              </w:rPr>
            </w:pPr>
            <w:r>
              <w:rPr>
                <w:rFonts w:eastAsia="仿宋_GB2312"/>
                <w:kern w:val="0"/>
                <w:sz w:val="24"/>
              </w:rPr>
              <w:t>指标值</w:t>
            </w:r>
          </w:p>
        </w:tc>
        <w:tc>
          <w:tcPr>
            <w:tcW w:w="932"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w:t>
            </w:r>
          </w:p>
          <w:p>
            <w:pPr>
              <w:widowControl/>
              <w:spacing w:line="240" w:lineRule="exact"/>
              <w:jc w:val="center"/>
              <w:rPr>
                <w:rFonts w:eastAsia="仿宋_GB2312"/>
                <w:kern w:val="0"/>
                <w:sz w:val="24"/>
              </w:rPr>
            </w:pPr>
            <w:r>
              <w:rPr>
                <w:rFonts w:eastAsia="仿宋_GB2312"/>
                <w:kern w:val="0"/>
                <w:sz w:val="24"/>
              </w:rPr>
              <w:t>完成值</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偏差原因分析及改进措施</w:t>
            </w:r>
          </w:p>
        </w:tc>
      </w:tr>
      <w:tr>
        <w:tblPrEx>
          <w:tblCellMar>
            <w:top w:w="0" w:type="dxa"/>
            <w:left w:w="0" w:type="dxa"/>
            <w:bottom w:w="0" w:type="dxa"/>
            <w:right w:w="0" w:type="dxa"/>
          </w:tblCellMar>
        </w:tblPrEx>
        <w:trPr>
          <w:trHeight w:val="617" w:hRule="atLeast"/>
        </w:trPr>
        <w:tc>
          <w:tcPr>
            <w:tcW w:w="589" w:type="dxa"/>
            <w:vMerge w:val="continue"/>
            <w:tcBorders>
              <w:top w:val="nil"/>
              <w:left w:val="single" w:color="auto" w:sz="4" w:space="0"/>
              <w:bottom w:val="nil"/>
              <w:right w:val="single" w:color="auto" w:sz="4" w:space="0"/>
              <w:tl2br w:val="nil"/>
              <w:tr2bl w:val="nil"/>
            </w:tcBorders>
            <w:vAlign w:val="center"/>
          </w:tcPr>
          <w:p/>
        </w:tc>
        <w:tc>
          <w:tcPr>
            <w:tcW w:w="629"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产出指标</w:t>
            </w:r>
          </w:p>
        </w:tc>
        <w:tc>
          <w:tcPr>
            <w:tcW w:w="1473"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数量指标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b/>
                <w:bCs/>
                <w:kern w:val="0"/>
                <w:sz w:val="18"/>
                <w:szCs w:val="18"/>
              </w:rPr>
              <w:t>　办理案件个数</w:t>
            </w:r>
          </w:p>
        </w:tc>
        <w:tc>
          <w:tcPr>
            <w:tcW w:w="102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85</w:t>
            </w:r>
          </w:p>
        </w:tc>
        <w:tc>
          <w:tcPr>
            <w:tcW w:w="932"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134</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40</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40</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697" w:hRule="atLeast"/>
        </w:trPr>
        <w:tc>
          <w:tcPr>
            <w:tcW w:w="589" w:type="dxa"/>
            <w:vMerge w:val="continue"/>
            <w:tcBorders>
              <w:top w:val="nil"/>
              <w:left w:val="single" w:color="auto" w:sz="4" w:space="0"/>
              <w:bottom w:val="nil"/>
              <w:right w:val="single" w:color="auto" w:sz="4" w:space="0"/>
              <w:tl2br w:val="nil"/>
              <w:tr2bl w:val="nil"/>
            </w:tcBorders>
            <w:vAlign w:val="center"/>
          </w:tcPr>
          <w:p/>
        </w:tc>
        <w:tc>
          <w:tcPr>
            <w:tcW w:w="629" w:type="dxa"/>
            <w:vMerge w:val="continue"/>
            <w:tcBorders>
              <w:top w:val="nil"/>
              <w:left w:val="single" w:color="auto" w:sz="4" w:space="0"/>
              <w:bottom w:val="single" w:color="auto" w:sz="4" w:space="0"/>
              <w:right w:val="single" w:color="auto" w:sz="4" w:space="0"/>
              <w:tl2br w:val="nil"/>
              <w:tr2bl w:val="nil"/>
            </w:tcBorders>
            <w:vAlign w:val="center"/>
          </w:tcPr>
          <w:p/>
        </w:tc>
        <w:tc>
          <w:tcPr>
            <w:tcW w:w="1473"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质量指标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执纪审查案件合格率</w:t>
            </w:r>
          </w:p>
        </w:tc>
        <w:tc>
          <w:tcPr>
            <w:tcW w:w="102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90%</w:t>
            </w:r>
          </w:p>
        </w:tc>
        <w:tc>
          <w:tcPr>
            <w:tcW w:w="932"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100%</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707" w:hRule="atLeast"/>
        </w:trPr>
        <w:tc>
          <w:tcPr>
            <w:tcW w:w="589" w:type="dxa"/>
            <w:vMerge w:val="continue"/>
            <w:tcBorders>
              <w:top w:val="nil"/>
              <w:left w:val="single" w:color="auto" w:sz="4" w:space="0"/>
              <w:bottom w:val="nil"/>
              <w:right w:val="single" w:color="auto" w:sz="4" w:space="0"/>
              <w:tl2br w:val="nil"/>
              <w:tr2bl w:val="nil"/>
            </w:tcBorders>
            <w:vAlign w:val="center"/>
          </w:tcPr>
          <w:p/>
        </w:tc>
        <w:tc>
          <w:tcPr>
            <w:tcW w:w="629" w:type="dxa"/>
            <w:vMerge w:val="continue"/>
            <w:tcBorders>
              <w:top w:val="nil"/>
              <w:left w:val="single" w:color="auto" w:sz="4" w:space="0"/>
              <w:bottom w:val="single" w:color="auto" w:sz="4" w:space="0"/>
              <w:right w:val="single" w:color="auto" w:sz="4" w:space="0"/>
              <w:tl2br w:val="nil"/>
              <w:tr2bl w:val="nil"/>
            </w:tcBorders>
            <w:vAlign w:val="center"/>
          </w:tcPr>
          <w:p/>
        </w:tc>
        <w:tc>
          <w:tcPr>
            <w:tcW w:w="1473"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时效指标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审结案件的及时性　</w:t>
            </w:r>
          </w:p>
        </w:tc>
        <w:tc>
          <w:tcPr>
            <w:tcW w:w="102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12月底</w:t>
            </w:r>
          </w:p>
        </w:tc>
        <w:tc>
          <w:tcPr>
            <w:tcW w:w="932"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12月底</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144" w:hRule="atLeast"/>
        </w:trPr>
        <w:tc>
          <w:tcPr>
            <w:tcW w:w="589" w:type="dxa"/>
            <w:vMerge w:val="continue"/>
            <w:tcBorders>
              <w:top w:val="nil"/>
              <w:left w:val="single" w:color="auto" w:sz="4" w:space="0"/>
              <w:bottom w:val="nil"/>
              <w:right w:val="single" w:color="auto" w:sz="4" w:space="0"/>
              <w:tl2br w:val="nil"/>
              <w:tr2bl w:val="nil"/>
            </w:tcBorders>
            <w:vAlign w:val="center"/>
          </w:tcPr>
          <w:p/>
        </w:tc>
        <w:tc>
          <w:tcPr>
            <w:tcW w:w="629" w:type="dxa"/>
            <w:vMerge w:val="continue"/>
            <w:tcBorders>
              <w:top w:val="nil"/>
              <w:left w:val="single" w:color="auto" w:sz="4" w:space="0"/>
              <w:bottom w:val="single" w:color="auto" w:sz="4" w:space="0"/>
              <w:right w:val="single" w:color="auto" w:sz="4" w:space="0"/>
              <w:tl2br w:val="nil"/>
              <w:tr2bl w:val="nil"/>
            </w:tcBorders>
            <w:vAlign w:val="center"/>
          </w:tcPr>
          <w:p/>
        </w:tc>
        <w:tc>
          <w:tcPr>
            <w:tcW w:w="1473"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成本指标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经费控制在预算内，在机构、人员、经费等方面提供保障　</w:t>
            </w:r>
          </w:p>
        </w:tc>
        <w:tc>
          <w:tcPr>
            <w:tcW w:w="102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&lt;=340万元</w:t>
            </w:r>
          </w:p>
        </w:tc>
        <w:tc>
          <w:tcPr>
            <w:tcW w:w="932"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328.33</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6.6</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18"/>
                <w:szCs w:val="18"/>
              </w:rPr>
            </w:pPr>
            <w:r>
              <w:rPr>
                <w:rFonts w:hint="eastAsia" w:eastAsia="仿宋_GB2312"/>
                <w:kern w:val="0"/>
                <w:sz w:val="18"/>
                <w:szCs w:val="18"/>
              </w:rPr>
              <w:t>由于培训和接待支出减少，未支出部分退还县财政。</w:t>
            </w:r>
          </w:p>
        </w:tc>
      </w:tr>
      <w:tr>
        <w:tblPrEx>
          <w:tblCellMar>
            <w:top w:w="0" w:type="dxa"/>
            <w:left w:w="0" w:type="dxa"/>
            <w:bottom w:w="0" w:type="dxa"/>
            <w:right w:w="0" w:type="dxa"/>
          </w:tblCellMar>
        </w:tblPrEx>
        <w:trPr>
          <w:trHeight w:val="693" w:hRule="atLeast"/>
        </w:trPr>
        <w:tc>
          <w:tcPr>
            <w:tcW w:w="589" w:type="dxa"/>
            <w:vMerge w:val="continue"/>
            <w:tcBorders>
              <w:top w:val="nil"/>
              <w:left w:val="single" w:color="auto" w:sz="4" w:space="0"/>
              <w:bottom w:val="nil"/>
              <w:right w:val="single" w:color="auto" w:sz="4" w:space="0"/>
              <w:tl2br w:val="nil"/>
              <w:tr2bl w:val="nil"/>
            </w:tcBorders>
            <w:vAlign w:val="center"/>
          </w:tcPr>
          <w:p/>
        </w:tc>
        <w:tc>
          <w:tcPr>
            <w:tcW w:w="629"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73"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社会效益</w:t>
            </w:r>
          </w:p>
          <w:p>
            <w:pPr>
              <w:widowControl/>
              <w:spacing w:line="240" w:lineRule="exact"/>
              <w:jc w:val="center"/>
              <w:rPr>
                <w:rFonts w:eastAsia="仿宋_GB2312"/>
                <w:kern w:val="0"/>
                <w:sz w:val="24"/>
              </w:rPr>
            </w:pPr>
            <w:r>
              <w:rPr>
                <w:rFonts w:eastAsia="仿宋_GB2312"/>
                <w:kern w:val="0"/>
                <w:sz w:val="24"/>
              </w:rPr>
              <w:t>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挽回经济损失（万元</w:t>
            </w:r>
            <w:r>
              <w:rPr>
                <w:rFonts w:ascii="宋体" w:hAnsi="宋体" w:cs="宋体"/>
                <w:kern w:val="0"/>
                <w:sz w:val="18"/>
                <w:szCs w:val="18"/>
              </w:rPr>
              <w:t>)</w:t>
            </w:r>
            <w:r>
              <w:rPr>
                <w:rFonts w:hint="eastAsia" w:ascii="宋体" w:hAnsi="宋体" w:cs="宋体"/>
                <w:kern w:val="0"/>
                <w:sz w:val="18"/>
                <w:szCs w:val="18"/>
              </w:rPr>
              <w:t>　</w:t>
            </w:r>
          </w:p>
        </w:tc>
        <w:tc>
          <w:tcPr>
            <w:tcW w:w="1026" w:type="dxa"/>
            <w:gridSpan w:val="2"/>
            <w:tcBorders>
              <w:top w:val="nil"/>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hint="eastAsia" w:eastAsia="仿宋_GB2312"/>
                <w:kern w:val="0"/>
                <w:sz w:val="24"/>
              </w:rPr>
              <w:t>〉0</w:t>
            </w:r>
          </w:p>
        </w:tc>
        <w:tc>
          <w:tcPr>
            <w:tcW w:w="932"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400.36</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757" w:hRule="atLeast"/>
        </w:trPr>
        <w:tc>
          <w:tcPr>
            <w:tcW w:w="589" w:type="dxa"/>
            <w:vMerge w:val="restart"/>
            <w:tcBorders>
              <w:top w:val="single" w:color="auto" w:sz="4" w:space="0"/>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p>
        </w:tc>
        <w:tc>
          <w:tcPr>
            <w:tcW w:w="629"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73"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可持续影响</w:t>
            </w:r>
          </w:p>
          <w:p>
            <w:pPr>
              <w:widowControl/>
              <w:spacing w:line="240" w:lineRule="exact"/>
              <w:jc w:val="center"/>
              <w:rPr>
                <w:rFonts w:eastAsia="仿宋_GB2312"/>
                <w:kern w:val="0"/>
                <w:sz w:val="24"/>
              </w:rPr>
            </w:pPr>
            <w:r>
              <w:rPr>
                <w:rFonts w:eastAsia="仿宋_GB2312"/>
                <w:kern w:val="0"/>
                <w:sz w:val="24"/>
              </w:rPr>
              <w:t>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管理与实施制度的健全性　</w:t>
            </w:r>
          </w:p>
        </w:tc>
        <w:tc>
          <w:tcPr>
            <w:tcW w:w="102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健全</w:t>
            </w:r>
          </w:p>
        </w:tc>
        <w:tc>
          <w:tcPr>
            <w:tcW w:w="932"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健全</w:t>
            </w:r>
          </w:p>
        </w:tc>
        <w:tc>
          <w:tcPr>
            <w:tcW w:w="53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549"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850" w:hRule="atLeast"/>
        </w:trPr>
        <w:tc>
          <w:tcPr>
            <w:tcW w:w="589" w:type="dxa"/>
            <w:vMerge w:val="continue"/>
            <w:tcBorders>
              <w:left w:val="single" w:color="auto" w:sz="4" w:space="0"/>
              <w:bottom w:val="nil"/>
              <w:right w:val="single" w:color="auto" w:sz="4" w:space="0"/>
              <w:tl2br w:val="nil"/>
              <w:tr2bl w:val="nil"/>
            </w:tcBorders>
            <w:vAlign w:val="center"/>
          </w:tcPr>
          <w:p/>
        </w:tc>
        <w:tc>
          <w:tcPr>
            <w:tcW w:w="629" w:type="dxa"/>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满意度</w:t>
            </w:r>
          </w:p>
          <w:p>
            <w:pPr>
              <w:widowControl/>
              <w:spacing w:line="240" w:lineRule="exact"/>
              <w:jc w:val="center"/>
              <w:rPr>
                <w:rFonts w:eastAsia="仿宋_GB2312"/>
                <w:kern w:val="0"/>
                <w:sz w:val="24"/>
              </w:rPr>
            </w:pPr>
            <w:r>
              <w:rPr>
                <w:rFonts w:eastAsia="仿宋_GB2312"/>
                <w:kern w:val="0"/>
                <w:sz w:val="24"/>
              </w:rPr>
              <w:t>指标</w:t>
            </w:r>
          </w:p>
        </w:tc>
        <w:tc>
          <w:tcPr>
            <w:tcW w:w="1473"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服务对象满意度指标</w:t>
            </w:r>
          </w:p>
        </w:tc>
        <w:tc>
          <w:tcPr>
            <w:tcW w:w="171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人民群众满意度　</w:t>
            </w:r>
          </w:p>
        </w:tc>
        <w:tc>
          <w:tcPr>
            <w:tcW w:w="102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85%</w:t>
            </w:r>
          </w:p>
        </w:tc>
        <w:tc>
          <w:tcPr>
            <w:tcW w:w="932"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96.5</w:t>
            </w:r>
            <w:r>
              <w:rPr>
                <w:rFonts w:eastAsia="仿宋_GB2312"/>
                <w:kern w:val="0"/>
                <w:sz w:val="24"/>
              </w:rPr>
              <w:t>%</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605" w:hRule="atLeast"/>
        </w:trPr>
        <w:tc>
          <w:tcPr>
            <w:tcW w:w="6360" w:type="dxa"/>
            <w:gridSpan w:val="8"/>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总分</w:t>
            </w:r>
          </w:p>
        </w:tc>
        <w:tc>
          <w:tcPr>
            <w:tcW w:w="53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100</w:t>
            </w:r>
          </w:p>
        </w:tc>
        <w:tc>
          <w:tcPr>
            <w:tcW w:w="549"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96.6</w:t>
            </w:r>
          </w:p>
        </w:tc>
        <w:tc>
          <w:tcPr>
            <w:tcW w:w="1464"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bl>
    <w:p>
      <w:pPr>
        <w:widowControl/>
        <w:jc w:val="left"/>
        <w:rPr>
          <w:rFonts w:eastAsia="仿宋_GB2312"/>
          <w:color w:val="000000"/>
          <w:kern w:val="0"/>
          <w:sz w:val="24"/>
        </w:rPr>
      </w:pPr>
      <w:r>
        <w:rPr>
          <w:rFonts w:eastAsia="仿宋_GB2312"/>
          <w:color w:val="000000"/>
          <w:kern w:val="0"/>
          <w:sz w:val="24"/>
        </w:rPr>
        <w:t>填报单位负责人（签名）：                   填报日期：</w:t>
      </w:r>
    </w:p>
    <w:p>
      <w:pPr>
        <w:widowControl/>
        <w:jc w:val="left"/>
        <w:rPr>
          <w:rFonts w:eastAsia="仿宋_GB2312"/>
          <w:color w:val="000000"/>
          <w:kern w:val="0"/>
          <w:sz w:val="24"/>
        </w:rPr>
      </w:pPr>
      <w:r>
        <w:rPr>
          <w:rFonts w:eastAsia="仿宋_GB2312"/>
          <w:color w:val="000000"/>
          <w:kern w:val="0"/>
          <w:sz w:val="24"/>
        </w:rPr>
        <w:t>填报人：                                   联系方式：</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72"/>
        <w:gridCol w:w="28"/>
        <w:gridCol w:w="993"/>
        <w:gridCol w:w="927"/>
        <w:gridCol w:w="196"/>
        <w:gridCol w:w="336"/>
        <w:gridCol w:w="434"/>
        <w:gridCol w:w="112"/>
        <w:gridCol w:w="784"/>
        <w:gridCol w:w="646"/>
        <w:gridCol w:w="26"/>
      </w:tblGrid>
      <w:tr>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l2br w:val="nil"/>
              <w:tr2bl w:val="nil"/>
            </w:tcBorders>
            <w:tcMar>
              <w:top w:w="15" w:type="dxa"/>
              <w:left w:w="15" w:type="dxa"/>
              <w:right w:w="15" w:type="dxa"/>
            </w:tcMar>
            <w:vAlign w:val="center"/>
          </w:tcPr>
          <w:p>
            <w:pPr>
              <w:widowControl/>
              <w:jc w:val="center"/>
              <w:textAlignment w:val="center"/>
              <w:rPr>
                <w:rFonts w:eastAsia="仿宋_GB2312"/>
                <w:color w:val="000000"/>
                <w:sz w:val="24"/>
                <w:szCs w:val="28"/>
              </w:rPr>
            </w:pPr>
            <w:r>
              <w:rPr>
                <w:rFonts w:eastAsia="方正小标宋简体"/>
                <w:kern w:val="0"/>
                <w:sz w:val="44"/>
                <w:szCs w:val="44"/>
              </w:rPr>
              <w:t>项目支出绩效自评表</w:t>
            </w:r>
          </w:p>
        </w:tc>
      </w:tr>
      <w:tr>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l2br w:val="nil"/>
              <w:tr2bl w:val="nil"/>
            </w:tcBorders>
          </w:tcPr>
          <w:p>
            <w:pPr>
              <w:widowControl/>
              <w:spacing w:line="240" w:lineRule="exact"/>
              <w:jc w:val="center"/>
              <w:rPr>
                <w:kern w:val="0"/>
                <w:sz w:val="22"/>
              </w:rPr>
            </w:pPr>
            <w:r>
              <w:rPr>
                <w:rFonts w:eastAsia="仿宋_GB2312"/>
                <w:kern w:val="0"/>
                <w:sz w:val="24"/>
              </w:rPr>
              <w:t>（</w:t>
            </w:r>
            <w:r>
              <w:rPr>
                <w:rFonts w:hint="eastAsia" w:eastAsia="仿宋_GB2312"/>
                <w:kern w:val="0"/>
                <w:sz w:val="24"/>
              </w:rPr>
              <w:t>2019</w:t>
            </w:r>
            <w:r>
              <w:rPr>
                <w:rFonts w:eastAsia="仿宋_GB2312"/>
                <w:kern w:val="0"/>
                <w:sz w:val="24"/>
              </w:rPr>
              <w:t>年度）</w:t>
            </w:r>
          </w:p>
        </w:tc>
      </w:tr>
      <w:tr>
        <w:tblPrEx>
          <w:tblCellMar>
            <w:top w:w="0" w:type="dxa"/>
            <w:left w:w="0" w:type="dxa"/>
            <w:bottom w:w="0" w:type="dxa"/>
            <w:right w:w="0" w:type="dxa"/>
          </w:tblCellMar>
        </w:tblPrEx>
        <w:trPr>
          <w:trHeight w:val="622" w:hRule="atLeast"/>
        </w:trPr>
        <w:tc>
          <w:tcPr>
            <w:tcW w:w="1212"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项目名称</w:t>
            </w:r>
          </w:p>
        </w:tc>
        <w:tc>
          <w:tcPr>
            <w:tcW w:w="7649" w:type="dxa"/>
            <w:gridSpan w:val="1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巡察工作项目</w:t>
            </w:r>
          </w:p>
        </w:tc>
      </w:tr>
      <w:tr>
        <w:tblPrEx>
          <w:tblCellMar>
            <w:top w:w="0" w:type="dxa"/>
            <w:left w:w="0" w:type="dxa"/>
            <w:bottom w:w="0" w:type="dxa"/>
            <w:right w:w="0" w:type="dxa"/>
          </w:tblCellMar>
        </w:tblPrEx>
        <w:tc>
          <w:tcPr>
            <w:tcW w:w="1212"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主管部门</w:t>
            </w:r>
          </w:p>
        </w:tc>
        <w:tc>
          <w:tcPr>
            <w:tcW w:w="4188" w:type="dxa"/>
            <w:gridSpan w:val="5"/>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实施单位</w:t>
            </w:r>
          </w:p>
        </w:tc>
        <w:tc>
          <w:tcPr>
            <w:tcW w:w="2338"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r>
      <w:tr>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项目资金</w:t>
            </w:r>
            <w:r>
              <w:rPr>
                <w:rFonts w:eastAsia="仿宋_GB2312"/>
                <w:kern w:val="0"/>
                <w:sz w:val="24"/>
              </w:rPr>
              <w:br w:type="textWrapping"/>
            </w:r>
            <w:r>
              <w:rPr>
                <w:rFonts w:eastAsia="仿宋_GB2312"/>
                <w:kern w:val="0"/>
                <w:sz w:val="24"/>
              </w:rPr>
              <w:t>（万元）</w:t>
            </w: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年初</w:t>
            </w:r>
          </w:p>
          <w:p>
            <w:pPr>
              <w:widowControl/>
              <w:spacing w:line="240" w:lineRule="exact"/>
              <w:jc w:val="center"/>
              <w:rPr>
                <w:rFonts w:eastAsia="仿宋_GB2312"/>
                <w:kern w:val="0"/>
                <w:sz w:val="24"/>
              </w:rPr>
            </w:pPr>
            <w:r>
              <w:rPr>
                <w:rFonts w:eastAsia="仿宋_GB2312"/>
                <w:kern w:val="0"/>
                <w:sz w:val="24"/>
              </w:rPr>
              <w:t>预算数</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预算数</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执行数</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执行率</w:t>
            </w: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r>
      <w:tr>
        <w:tblPrEx>
          <w:tblCellMar>
            <w:top w:w="0" w:type="dxa"/>
            <w:left w:w="0" w:type="dxa"/>
            <w:bottom w:w="0" w:type="dxa"/>
            <w:right w:w="0" w:type="dxa"/>
          </w:tblCellMar>
        </w:tblPrEx>
        <w:trPr>
          <w:trHeight w:val="417"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eastAsia="仿宋_GB2312"/>
                <w:kern w:val="0"/>
                <w:sz w:val="24"/>
              </w:rPr>
              <w:t>年度资金总额</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50</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50</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49</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98%</w:t>
            </w: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9.8</w:t>
            </w:r>
          </w:p>
        </w:tc>
      </w:tr>
      <w:tr>
        <w:tblPrEx>
          <w:tblCellMar>
            <w:top w:w="0" w:type="dxa"/>
            <w:left w:w="0" w:type="dxa"/>
            <w:bottom w:w="0" w:type="dxa"/>
            <w:right w:w="0" w:type="dxa"/>
          </w:tblCellMar>
        </w:tblPrEx>
        <w:trPr>
          <w:trHeight w:val="423"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其中：当年财政拨款</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50</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50</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49</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98%</w:t>
            </w: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415"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 xml:space="preserve">      上年结转资金</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422"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 xml:space="preserve">  其他资金</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414" w:hRule="atLeast"/>
        </w:trPr>
        <w:tc>
          <w:tcPr>
            <w:tcW w:w="586"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年度总体目标</w:t>
            </w:r>
          </w:p>
        </w:tc>
        <w:tc>
          <w:tcPr>
            <w:tcW w:w="4814"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预期目标</w:t>
            </w:r>
          </w:p>
        </w:tc>
        <w:tc>
          <w:tcPr>
            <w:tcW w:w="3461" w:type="dxa"/>
            <w:gridSpan w:val="8"/>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实际完成情况</w:t>
            </w:r>
          </w:p>
        </w:tc>
      </w:tr>
      <w:tr>
        <w:tblPrEx>
          <w:tblCellMar>
            <w:top w:w="0" w:type="dxa"/>
            <w:left w:w="0" w:type="dxa"/>
            <w:bottom w:w="0" w:type="dxa"/>
            <w:right w:w="0" w:type="dxa"/>
          </w:tblCellMar>
        </w:tblPrEx>
        <w:tc>
          <w:tcPr>
            <w:tcW w:w="586" w:type="dxa"/>
            <w:vMerge w:val="continue"/>
            <w:tcBorders>
              <w:top w:val="nil"/>
              <w:left w:val="single" w:color="auto" w:sz="4" w:space="0"/>
              <w:bottom w:val="single" w:color="auto" w:sz="4" w:space="0"/>
              <w:right w:val="single" w:color="auto" w:sz="4" w:space="0"/>
              <w:tl2br w:val="nil"/>
              <w:tr2bl w:val="nil"/>
            </w:tcBorders>
            <w:vAlign w:val="center"/>
          </w:tcPr>
          <w:p/>
        </w:tc>
        <w:tc>
          <w:tcPr>
            <w:tcW w:w="4814"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维护党纪国法尊严，坚决惩处腐败分子，有效遏制腐败现象。</w:t>
            </w:r>
          </w:p>
        </w:tc>
        <w:tc>
          <w:tcPr>
            <w:tcW w:w="3461" w:type="dxa"/>
            <w:gridSpan w:val="8"/>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实现了维护党纪国法尊严，坚决惩处腐败分子，有效遏制腐败现象。</w:t>
            </w:r>
          </w:p>
        </w:tc>
      </w:tr>
      <w:tr>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绩</w:t>
            </w:r>
            <w:r>
              <w:rPr>
                <w:rFonts w:eastAsia="仿宋_GB2312"/>
                <w:kern w:val="0"/>
                <w:sz w:val="24"/>
              </w:rPr>
              <w:br w:type="textWrapping"/>
            </w:r>
            <w:r>
              <w:rPr>
                <w:rFonts w:eastAsia="仿宋_GB2312"/>
                <w:kern w:val="0"/>
                <w:sz w:val="24"/>
              </w:rPr>
              <w:t>效</w:t>
            </w:r>
            <w:r>
              <w:rPr>
                <w:rFonts w:eastAsia="仿宋_GB2312"/>
                <w:kern w:val="0"/>
                <w:sz w:val="24"/>
              </w:rPr>
              <w:br w:type="textWrapping"/>
            </w:r>
            <w:r>
              <w:rPr>
                <w:rFonts w:eastAsia="仿宋_GB2312"/>
                <w:kern w:val="0"/>
                <w:sz w:val="24"/>
              </w:rPr>
              <w:t>指</w:t>
            </w:r>
            <w:r>
              <w:rPr>
                <w:rFonts w:eastAsia="仿宋_GB2312"/>
                <w:kern w:val="0"/>
                <w:sz w:val="24"/>
              </w:rPr>
              <w:br w:type="textWrapping"/>
            </w:r>
            <w:r>
              <w:rPr>
                <w:rFonts w:eastAsia="仿宋_GB2312"/>
                <w:kern w:val="0"/>
                <w:sz w:val="24"/>
              </w:rPr>
              <w:t>标</w:t>
            </w:r>
          </w:p>
        </w:tc>
        <w:tc>
          <w:tcPr>
            <w:tcW w:w="626"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一级指标</w:t>
            </w:r>
          </w:p>
        </w:tc>
        <w:tc>
          <w:tcPr>
            <w:tcW w:w="1465"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二级指标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三级指标</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w:t>
            </w:r>
          </w:p>
          <w:p>
            <w:pPr>
              <w:widowControl/>
              <w:spacing w:line="240" w:lineRule="exact"/>
              <w:jc w:val="center"/>
              <w:rPr>
                <w:rFonts w:eastAsia="仿宋_GB2312"/>
                <w:kern w:val="0"/>
                <w:sz w:val="24"/>
              </w:rPr>
            </w:pPr>
            <w:r>
              <w:rPr>
                <w:rFonts w:eastAsia="仿宋_GB2312"/>
                <w:kern w:val="0"/>
                <w:sz w:val="24"/>
              </w:rPr>
              <w:t>指标值</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w:t>
            </w:r>
          </w:p>
          <w:p>
            <w:pPr>
              <w:widowControl/>
              <w:spacing w:line="240" w:lineRule="exact"/>
              <w:jc w:val="center"/>
              <w:rPr>
                <w:rFonts w:eastAsia="仿宋_GB2312"/>
                <w:kern w:val="0"/>
                <w:sz w:val="24"/>
              </w:rPr>
            </w:pPr>
            <w:r>
              <w:rPr>
                <w:rFonts w:eastAsia="仿宋_GB2312"/>
                <w:kern w:val="0"/>
                <w:sz w:val="24"/>
              </w:rPr>
              <w:t>完成值</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偏差原因分析及改进措施</w:t>
            </w:r>
          </w:p>
        </w:tc>
      </w:tr>
      <w:tr>
        <w:tblPrEx>
          <w:tblCellMar>
            <w:top w:w="0" w:type="dxa"/>
            <w:left w:w="0" w:type="dxa"/>
            <w:bottom w:w="0" w:type="dxa"/>
            <w:right w:w="0" w:type="dxa"/>
          </w:tblCellMar>
        </w:tblPrEx>
        <w:trPr>
          <w:trHeight w:val="890"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产出指标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数量指标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实际巡察单位个数　</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16</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17</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40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40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833"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质量指标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巡察工作完成合格率</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90%</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100%</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695"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时效指标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巡察工作完成及时性</w:t>
            </w:r>
          </w:p>
        </w:tc>
        <w:tc>
          <w:tcPr>
            <w:tcW w:w="102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12月底</w:t>
            </w:r>
          </w:p>
        </w:tc>
        <w:tc>
          <w:tcPr>
            <w:tcW w:w="927"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12月底</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成本指标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　经费控制在预算内，在机构、人员、经费等方面提供保障</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&lt;=50万元</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49</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7.5</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rPr>
                <w:rFonts w:eastAsia="仿宋_GB2312"/>
                <w:kern w:val="0"/>
                <w:sz w:val="18"/>
                <w:szCs w:val="18"/>
              </w:rPr>
            </w:pPr>
            <w:r>
              <w:rPr>
                <w:rFonts w:hint="eastAsia" w:eastAsia="仿宋_GB2312"/>
                <w:kern w:val="0"/>
                <w:sz w:val="18"/>
                <w:szCs w:val="18"/>
              </w:rPr>
              <w:t>由于本年度培训工作较少，培训经费剩余1万元退还县财政。</w:t>
            </w:r>
          </w:p>
        </w:tc>
      </w:tr>
      <w:tr>
        <w:tblPrEx>
          <w:tblCellMar>
            <w:top w:w="0" w:type="dxa"/>
            <w:left w:w="0" w:type="dxa"/>
            <w:bottom w:w="0" w:type="dxa"/>
            <w:right w:w="0" w:type="dxa"/>
          </w:tblCellMar>
        </w:tblPrEx>
        <w:trPr>
          <w:trHeight w:val="730"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社会效益</w:t>
            </w:r>
          </w:p>
          <w:p>
            <w:pPr>
              <w:widowControl/>
              <w:spacing w:line="240" w:lineRule="exact"/>
              <w:jc w:val="center"/>
              <w:rPr>
                <w:rFonts w:eastAsia="仿宋_GB2312"/>
                <w:kern w:val="0"/>
                <w:sz w:val="24"/>
              </w:rPr>
            </w:pPr>
            <w:r>
              <w:rPr>
                <w:rFonts w:eastAsia="仿宋_GB2312"/>
                <w:kern w:val="0"/>
                <w:sz w:val="24"/>
              </w:rPr>
              <w:t>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纠正问题个数</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hint="eastAsia" w:eastAsia="仿宋_GB2312"/>
                <w:kern w:val="0"/>
                <w:sz w:val="24"/>
              </w:rPr>
              <w:t>〉0</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242</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c>
          <w:tcPr>
            <w:tcW w:w="586" w:type="dxa"/>
            <w:vMerge w:val="restart"/>
            <w:tcBorders>
              <w:top w:val="single" w:color="auto" w:sz="4" w:space="0"/>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可持续影响</w:t>
            </w:r>
          </w:p>
          <w:p>
            <w:pPr>
              <w:widowControl/>
              <w:spacing w:line="240" w:lineRule="exact"/>
              <w:jc w:val="center"/>
              <w:rPr>
                <w:rFonts w:eastAsia="仿宋_GB2312"/>
                <w:kern w:val="0"/>
                <w:sz w:val="24"/>
              </w:rPr>
            </w:pPr>
            <w:r>
              <w:rPr>
                <w:rFonts w:eastAsia="仿宋_GB2312"/>
                <w:kern w:val="0"/>
                <w:sz w:val="24"/>
              </w:rPr>
              <w:t>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可持续影响</w:t>
            </w:r>
          </w:p>
          <w:p>
            <w:pPr>
              <w:widowControl/>
              <w:spacing w:line="240" w:lineRule="exact"/>
              <w:jc w:val="center"/>
              <w:rPr>
                <w:rFonts w:eastAsia="仿宋_GB2312"/>
                <w:kern w:val="0"/>
                <w:sz w:val="24"/>
              </w:rPr>
            </w:pPr>
            <w:r>
              <w:rPr>
                <w:rFonts w:eastAsia="仿宋_GB2312"/>
                <w:kern w:val="0"/>
                <w:sz w:val="24"/>
              </w:rPr>
              <w:t>指标</w:t>
            </w:r>
          </w:p>
        </w:tc>
        <w:tc>
          <w:tcPr>
            <w:tcW w:w="102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管理与实施制度的健全性　</w:t>
            </w:r>
          </w:p>
        </w:tc>
        <w:tc>
          <w:tcPr>
            <w:tcW w:w="927"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健全</w:t>
            </w:r>
          </w:p>
        </w:tc>
        <w:tc>
          <w:tcPr>
            <w:tcW w:w="53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健全</w:t>
            </w:r>
          </w:p>
        </w:tc>
        <w:tc>
          <w:tcPr>
            <w:tcW w:w="54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l2br w:val="nil"/>
              <w:tr2bl w:val="nil"/>
            </w:tcBorders>
            <w:vAlign w:val="center"/>
          </w:tcPr>
          <w:p/>
        </w:tc>
        <w:tc>
          <w:tcPr>
            <w:tcW w:w="626" w:type="dxa"/>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满意度</w:t>
            </w:r>
          </w:p>
          <w:p>
            <w:pPr>
              <w:widowControl/>
              <w:spacing w:line="240" w:lineRule="exact"/>
              <w:jc w:val="center"/>
              <w:rPr>
                <w:rFonts w:eastAsia="仿宋_GB2312"/>
                <w:kern w:val="0"/>
                <w:sz w:val="24"/>
              </w:rPr>
            </w:pPr>
            <w:r>
              <w:rPr>
                <w:rFonts w:eastAsia="仿宋_GB2312"/>
                <w:kern w:val="0"/>
                <w:sz w:val="24"/>
              </w:rPr>
              <w:t>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被巡察单位满意度</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85%</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98%</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507" w:hRule="atLeast"/>
        </w:trPr>
        <w:tc>
          <w:tcPr>
            <w:tcW w:w="6327" w:type="dxa"/>
            <w:gridSpan w:val="8"/>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总分</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100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97.3</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bl>
    <w:p>
      <w:pPr>
        <w:widowControl/>
        <w:jc w:val="left"/>
        <w:rPr>
          <w:rFonts w:eastAsia="仿宋_GB2312"/>
          <w:color w:val="000000"/>
          <w:kern w:val="0"/>
          <w:sz w:val="24"/>
        </w:rPr>
      </w:pPr>
      <w:r>
        <w:rPr>
          <w:rFonts w:eastAsia="仿宋_GB2312"/>
          <w:color w:val="000000"/>
          <w:kern w:val="0"/>
          <w:sz w:val="24"/>
        </w:rPr>
        <w:t>填报单位负责人（签名）：                   填报日期：</w:t>
      </w:r>
    </w:p>
    <w:p>
      <w:pPr>
        <w:widowControl/>
        <w:jc w:val="left"/>
        <w:rPr>
          <w:rFonts w:eastAsia="仿宋_GB2312"/>
          <w:color w:val="000000"/>
          <w:kern w:val="0"/>
          <w:sz w:val="24"/>
        </w:rPr>
      </w:pPr>
      <w:r>
        <w:rPr>
          <w:rFonts w:eastAsia="仿宋_GB2312"/>
          <w:color w:val="000000"/>
          <w:kern w:val="0"/>
          <w:sz w:val="24"/>
        </w:rPr>
        <w:t>填报人：                                   联系方式：</w:t>
      </w:r>
    </w:p>
    <w:tbl>
      <w:tblPr>
        <w:tblStyle w:val="9"/>
        <w:tblW w:w="8861" w:type="dxa"/>
        <w:tblInd w:w="15" w:type="dxa"/>
        <w:tblLayout w:type="fixed"/>
        <w:tblCellMar>
          <w:top w:w="0" w:type="dxa"/>
          <w:left w:w="0" w:type="dxa"/>
          <w:bottom w:w="0" w:type="dxa"/>
          <w:right w:w="0" w:type="dxa"/>
        </w:tblCellMar>
      </w:tblPr>
      <w:tblGrid>
        <w:gridCol w:w="586"/>
        <w:gridCol w:w="626"/>
        <w:gridCol w:w="1465"/>
        <w:gridCol w:w="730"/>
        <w:gridCol w:w="988"/>
        <w:gridCol w:w="12"/>
        <w:gridCol w:w="993"/>
        <w:gridCol w:w="927"/>
        <w:gridCol w:w="196"/>
        <w:gridCol w:w="336"/>
        <w:gridCol w:w="434"/>
        <w:gridCol w:w="112"/>
        <w:gridCol w:w="784"/>
        <w:gridCol w:w="646"/>
        <w:gridCol w:w="26"/>
      </w:tblGrid>
      <w:tr>
        <w:tblPrEx>
          <w:tblCellMar>
            <w:top w:w="0" w:type="dxa"/>
            <w:left w:w="0" w:type="dxa"/>
            <w:bottom w:w="0" w:type="dxa"/>
            <w:right w:w="0" w:type="dxa"/>
          </w:tblCellMar>
        </w:tblPrEx>
        <w:trPr>
          <w:gridAfter w:val="1"/>
          <w:wAfter w:w="26" w:type="dxa"/>
          <w:trHeight w:val="375" w:hRule="atLeast"/>
        </w:trPr>
        <w:tc>
          <w:tcPr>
            <w:tcW w:w="8835" w:type="dxa"/>
            <w:gridSpan w:val="14"/>
            <w:tcBorders>
              <w:top w:val="nil"/>
              <w:left w:val="nil"/>
              <w:bottom w:val="nil"/>
              <w:right w:val="nil"/>
              <w:tl2br w:val="nil"/>
              <w:tr2bl w:val="nil"/>
            </w:tcBorders>
            <w:tcMar>
              <w:top w:w="15" w:type="dxa"/>
              <w:left w:w="15" w:type="dxa"/>
              <w:right w:w="15" w:type="dxa"/>
            </w:tcMar>
            <w:vAlign w:val="center"/>
          </w:tcPr>
          <w:p>
            <w:pPr>
              <w:widowControl/>
              <w:jc w:val="center"/>
              <w:textAlignment w:val="center"/>
              <w:rPr>
                <w:rFonts w:eastAsia="仿宋_GB2312"/>
                <w:color w:val="000000"/>
                <w:sz w:val="24"/>
                <w:szCs w:val="28"/>
              </w:rPr>
            </w:pPr>
            <w:r>
              <w:rPr>
                <w:rFonts w:eastAsia="方正小标宋简体"/>
                <w:kern w:val="0"/>
                <w:sz w:val="44"/>
                <w:szCs w:val="44"/>
              </w:rPr>
              <w:t>项目支出绩效自评表</w:t>
            </w:r>
          </w:p>
        </w:tc>
      </w:tr>
      <w:tr>
        <w:tblPrEx>
          <w:tblCellMar>
            <w:top w:w="0" w:type="dxa"/>
            <w:left w:w="0" w:type="dxa"/>
            <w:bottom w:w="0" w:type="dxa"/>
            <w:right w:w="0" w:type="dxa"/>
          </w:tblCellMar>
        </w:tblPrEx>
        <w:trPr>
          <w:trHeight w:val="259" w:hRule="atLeast"/>
        </w:trPr>
        <w:tc>
          <w:tcPr>
            <w:tcW w:w="8861" w:type="dxa"/>
            <w:gridSpan w:val="15"/>
            <w:tcBorders>
              <w:top w:val="nil"/>
              <w:left w:val="nil"/>
              <w:bottom w:val="nil"/>
              <w:right w:val="nil"/>
              <w:tl2br w:val="nil"/>
              <w:tr2bl w:val="nil"/>
            </w:tcBorders>
          </w:tcPr>
          <w:p>
            <w:pPr>
              <w:widowControl/>
              <w:spacing w:line="240" w:lineRule="exact"/>
              <w:jc w:val="center"/>
              <w:rPr>
                <w:kern w:val="0"/>
                <w:sz w:val="22"/>
              </w:rPr>
            </w:pPr>
            <w:r>
              <w:rPr>
                <w:rFonts w:eastAsia="仿宋_GB2312"/>
                <w:kern w:val="0"/>
                <w:sz w:val="24"/>
              </w:rPr>
              <w:t>（</w:t>
            </w:r>
            <w:r>
              <w:rPr>
                <w:rFonts w:hint="eastAsia" w:eastAsia="仿宋_GB2312"/>
                <w:kern w:val="0"/>
                <w:sz w:val="24"/>
              </w:rPr>
              <w:t>2019</w:t>
            </w:r>
            <w:r>
              <w:rPr>
                <w:rFonts w:eastAsia="仿宋_GB2312"/>
                <w:kern w:val="0"/>
                <w:sz w:val="24"/>
              </w:rPr>
              <w:t>年度）</w:t>
            </w:r>
          </w:p>
        </w:tc>
      </w:tr>
      <w:tr>
        <w:tblPrEx>
          <w:tblCellMar>
            <w:top w:w="0" w:type="dxa"/>
            <w:left w:w="0" w:type="dxa"/>
            <w:bottom w:w="0" w:type="dxa"/>
            <w:right w:w="0" w:type="dxa"/>
          </w:tblCellMar>
        </w:tblPrEx>
        <w:trPr>
          <w:trHeight w:val="622" w:hRule="atLeast"/>
        </w:trPr>
        <w:tc>
          <w:tcPr>
            <w:tcW w:w="1212"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项目名称</w:t>
            </w:r>
          </w:p>
        </w:tc>
        <w:tc>
          <w:tcPr>
            <w:tcW w:w="7649" w:type="dxa"/>
            <w:gridSpan w:val="1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乡镇纪律审查项目</w:t>
            </w:r>
          </w:p>
        </w:tc>
      </w:tr>
      <w:tr>
        <w:tblPrEx>
          <w:tblCellMar>
            <w:top w:w="0" w:type="dxa"/>
            <w:left w:w="0" w:type="dxa"/>
            <w:bottom w:w="0" w:type="dxa"/>
            <w:right w:w="0" w:type="dxa"/>
          </w:tblCellMar>
        </w:tblPrEx>
        <w:trPr>
          <w:trHeight w:val="701" w:hRule="atLeast"/>
        </w:trPr>
        <w:tc>
          <w:tcPr>
            <w:tcW w:w="1212"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主管部门</w:t>
            </w:r>
          </w:p>
        </w:tc>
        <w:tc>
          <w:tcPr>
            <w:tcW w:w="4188" w:type="dxa"/>
            <w:gridSpan w:val="5"/>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实施单位</w:t>
            </w:r>
          </w:p>
        </w:tc>
        <w:tc>
          <w:tcPr>
            <w:tcW w:w="2338"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r>
      <w:tr>
        <w:tblPrEx>
          <w:tblCellMar>
            <w:top w:w="0" w:type="dxa"/>
            <w:left w:w="0" w:type="dxa"/>
            <w:bottom w:w="0" w:type="dxa"/>
            <w:right w:w="0" w:type="dxa"/>
          </w:tblCellMar>
        </w:tblPrEx>
        <w:tc>
          <w:tcPr>
            <w:tcW w:w="1212" w:type="dxa"/>
            <w:gridSpan w:val="2"/>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项目资金</w:t>
            </w:r>
            <w:r>
              <w:rPr>
                <w:rFonts w:eastAsia="仿宋_GB2312"/>
                <w:kern w:val="0"/>
                <w:sz w:val="24"/>
              </w:rPr>
              <w:br w:type="textWrapping"/>
            </w:r>
            <w:r>
              <w:rPr>
                <w:rFonts w:eastAsia="仿宋_GB2312"/>
                <w:kern w:val="0"/>
                <w:sz w:val="24"/>
              </w:rPr>
              <w:t>（万元）</w:t>
            </w: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年初</w:t>
            </w:r>
          </w:p>
          <w:p>
            <w:pPr>
              <w:widowControl/>
              <w:spacing w:line="240" w:lineRule="exact"/>
              <w:jc w:val="center"/>
              <w:rPr>
                <w:rFonts w:eastAsia="仿宋_GB2312"/>
                <w:kern w:val="0"/>
                <w:sz w:val="24"/>
              </w:rPr>
            </w:pPr>
            <w:r>
              <w:rPr>
                <w:rFonts w:eastAsia="仿宋_GB2312"/>
                <w:kern w:val="0"/>
                <w:sz w:val="24"/>
              </w:rPr>
              <w:t>预算数</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预算数</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执行数</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执行率</w:t>
            </w: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r>
      <w:tr>
        <w:tblPrEx>
          <w:tblCellMar>
            <w:top w:w="0" w:type="dxa"/>
            <w:left w:w="0" w:type="dxa"/>
            <w:bottom w:w="0" w:type="dxa"/>
            <w:right w:w="0" w:type="dxa"/>
          </w:tblCellMar>
        </w:tblPrEx>
        <w:trPr>
          <w:trHeight w:val="417"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eastAsia="仿宋_GB2312"/>
                <w:kern w:val="0"/>
                <w:sz w:val="24"/>
              </w:rPr>
              <w:t>年度资金总额</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75</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75</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71.87</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95.83</w:t>
            </w:r>
            <w:r>
              <w:rPr>
                <w:rFonts w:eastAsia="仿宋_GB2312"/>
                <w:kern w:val="0"/>
                <w:sz w:val="24"/>
              </w:rPr>
              <w:t>%</w:t>
            </w: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9.6</w:t>
            </w:r>
          </w:p>
        </w:tc>
      </w:tr>
      <w:tr>
        <w:tblPrEx>
          <w:tblCellMar>
            <w:top w:w="0" w:type="dxa"/>
            <w:left w:w="0" w:type="dxa"/>
            <w:bottom w:w="0" w:type="dxa"/>
            <w:right w:w="0" w:type="dxa"/>
          </w:tblCellMar>
        </w:tblPrEx>
        <w:trPr>
          <w:trHeight w:val="423"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其中：当年财政拨款</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75</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75</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71.87</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95.83</w:t>
            </w:r>
            <w:r>
              <w:rPr>
                <w:rFonts w:eastAsia="仿宋_GB2312"/>
                <w:kern w:val="0"/>
                <w:sz w:val="24"/>
              </w:rPr>
              <w:t>%</w:t>
            </w: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415"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 xml:space="preserve">      上年结转资金</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563"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 xml:space="preserve">  其他资金</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7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trHeight w:val="557" w:hRule="atLeast"/>
        </w:trPr>
        <w:tc>
          <w:tcPr>
            <w:tcW w:w="586"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年度总体目标</w:t>
            </w:r>
          </w:p>
        </w:tc>
        <w:tc>
          <w:tcPr>
            <w:tcW w:w="4814"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预期目标</w:t>
            </w:r>
          </w:p>
        </w:tc>
        <w:tc>
          <w:tcPr>
            <w:tcW w:w="3461" w:type="dxa"/>
            <w:gridSpan w:val="8"/>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实际完成情况</w:t>
            </w:r>
          </w:p>
        </w:tc>
      </w:tr>
      <w:tr>
        <w:tblPrEx>
          <w:tblCellMar>
            <w:top w:w="0" w:type="dxa"/>
            <w:left w:w="0" w:type="dxa"/>
            <w:bottom w:w="0" w:type="dxa"/>
            <w:right w:w="0" w:type="dxa"/>
          </w:tblCellMar>
        </w:tblPrEx>
        <w:trPr>
          <w:trHeight w:val="977" w:hRule="atLeast"/>
        </w:trPr>
        <w:tc>
          <w:tcPr>
            <w:tcW w:w="586" w:type="dxa"/>
            <w:vMerge w:val="continue"/>
            <w:tcBorders>
              <w:top w:val="nil"/>
              <w:left w:val="single" w:color="auto" w:sz="4" w:space="0"/>
              <w:bottom w:val="single" w:color="auto" w:sz="4" w:space="0"/>
              <w:right w:val="single" w:color="auto" w:sz="4" w:space="0"/>
              <w:tl2br w:val="nil"/>
              <w:tr2bl w:val="nil"/>
            </w:tcBorders>
            <w:vAlign w:val="center"/>
          </w:tcPr>
          <w:p/>
        </w:tc>
        <w:tc>
          <w:tcPr>
            <w:tcW w:w="4814"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维护党纪国法尊严，坚决惩处腐败分子，有效遏制腐败现象。</w:t>
            </w:r>
          </w:p>
        </w:tc>
        <w:tc>
          <w:tcPr>
            <w:tcW w:w="3461" w:type="dxa"/>
            <w:gridSpan w:val="8"/>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实现了维护党纪国法尊严，坚决惩处腐败分子，有效遏制腐败现象。</w:t>
            </w:r>
          </w:p>
        </w:tc>
      </w:tr>
      <w:tr>
        <w:tblPrEx>
          <w:tblCellMar>
            <w:top w:w="0" w:type="dxa"/>
            <w:left w:w="0" w:type="dxa"/>
            <w:bottom w:w="0" w:type="dxa"/>
            <w:right w:w="0" w:type="dxa"/>
          </w:tblCellMar>
        </w:tblPrEx>
        <w:tc>
          <w:tcPr>
            <w:tcW w:w="586" w:type="dxa"/>
            <w:vMerge w:val="restart"/>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绩</w:t>
            </w:r>
            <w:r>
              <w:rPr>
                <w:rFonts w:eastAsia="仿宋_GB2312"/>
                <w:kern w:val="0"/>
                <w:sz w:val="24"/>
              </w:rPr>
              <w:br w:type="textWrapping"/>
            </w:r>
            <w:r>
              <w:rPr>
                <w:rFonts w:eastAsia="仿宋_GB2312"/>
                <w:kern w:val="0"/>
                <w:sz w:val="24"/>
              </w:rPr>
              <w:t>效</w:t>
            </w:r>
            <w:r>
              <w:rPr>
                <w:rFonts w:eastAsia="仿宋_GB2312"/>
                <w:kern w:val="0"/>
                <w:sz w:val="24"/>
              </w:rPr>
              <w:br w:type="textWrapping"/>
            </w:r>
            <w:r>
              <w:rPr>
                <w:rFonts w:eastAsia="仿宋_GB2312"/>
                <w:kern w:val="0"/>
                <w:sz w:val="24"/>
              </w:rPr>
              <w:t>指</w:t>
            </w:r>
            <w:r>
              <w:rPr>
                <w:rFonts w:eastAsia="仿宋_GB2312"/>
                <w:kern w:val="0"/>
                <w:sz w:val="24"/>
              </w:rPr>
              <w:br w:type="textWrapping"/>
            </w:r>
            <w:r>
              <w:rPr>
                <w:rFonts w:eastAsia="仿宋_GB2312"/>
                <w:kern w:val="0"/>
                <w:sz w:val="24"/>
              </w:rPr>
              <w:t>标</w:t>
            </w:r>
          </w:p>
        </w:tc>
        <w:tc>
          <w:tcPr>
            <w:tcW w:w="626"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一级指标</w:t>
            </w:r>
          </w:p>
        </w:tc>
        <w:tc>
          <w:tcPr>
            <w:tcW w:w="1465"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二级指标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三级指标</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w:t>
            </w:r>
          </w:p>
          <w:p>
            <w:pPr>
              <w:widowControl/>
              <w:spacing w:line="240" w:lineRule="exact"/>
              <w:jc w:val="center"/>
              <w:rPr>
                <w:rFonts w:eastAsia="仿宋_GB2312"/>
                <w:kern w:val="0"/>
                <w:sz w:val="24"/>
              </w:rPr>
            </w:pPr>
            <w:r>
              <w:rPr>
                <w:rFonts w:eastAsia="仿宋_GB2312"/>
                <w:kern w:val="0"/>
                <w:sz w:val="24"/>
              </w:rPr>
              <w:t>指标值</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w:t>
            </w:r>
          </w:p>
          <w:p>
            <w:pPr>
              <w:widowControl/>
              <w:spacing w:line="240" w:lineRule="exact"/>
              <w:jc w:val="center"/>
              <w:rPr>
                <w:rFonts w:eastAsia="仿宋_GB2312"/>
                <w:kern w:val="0"/>
                <w:sz w:val="24"/>
              </w:rPr>
            </w:pPr>
            <w:r>
              <w:rPr>
                <w:rFonts w:eastAsia="仿宋_GB2312"/>
                <w:kern w:val="0"/>
                <w:sz w:val="24"/>
              </w:rPr>
              <w:t>完成值</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偏差原因分析及改进措施</w:t>
            </w:r>
          </w:p>
        </w:tc>
      </w:tr>
      <w:tr>
        <w:tblPrEx>
          <w:tblCellMar>
            <w:top w:w="0" w:type="dxa"/>
            <w:left w:w="0" w:type="dxa"/>
            <w:bottom w:w="0" w:type="dxa"/>
            <w:right w:w="0" w:type="dxa"/>
          </w:tblCellMar>
        </w:tblPrEx>
        <w:trPr>
          <w:trHeight w:val="629"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产出指标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数量指标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b/>
                <w:bCs/>
                <w:kern w:val="0"/>
                <w:sz w:val="18"/>
                <w:szCs w:val="18"/>
              </w:rPr>
              <w:t>　</w:t>
            </w:r>
            <w:r>
              <w:rPr>
                <w:rFonts w:hint="eastAsia" w:ascii="宋体" w:hAnsi="宋体" w:cs="宋体"/>
                <w:kern w:val="0"/>
                <w:sz w:val="18"/>
                <w:szCs w:val="18"/>
              </w:rPr>
              <w:t>办理案件个数</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15</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2</w:t>
            </w:r>
            <w:r>
              <w:rPr>
                <w:rFonts w:hint="eastAsia" w:eastAsia="仿宋_GB2312"/>
                <w:kern w:val="0"/>
                <w:sz w:val="24"/>
              </w:rPr>
              <w:t>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2</w:t>
            </w:r>
            <w:r>
              <w:rPr>
                <w:rFonts w:hint="eastAsia" w:eastAsia="仿宋_GB2312"/>
                <w:kern w:val="0"/>
                <w:sz w:val="24"/>
              </w:rPr>
              <w:t>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566"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质量指标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执纪审查案件合格率</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90%</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100%</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701"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时效指标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审结案件的及时性　</w:t>
            </w:r>
          </w:p>
        </w:tc>
        <w:tc>
          <w:tcPr>
            <w:tcW w:w="100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12月底</w:t>
            </w:r>
          </w:p>
        </w:tc>
        <w:tc>
          <w:tcPr>
            <w:tcW w:w="927"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100%</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成本指标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经费控制在预算内，在机构、人员、经费等方面提供保障　</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&lt;=75万元</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71.87</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25</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14</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18"/>
                <w:szCs w:val="18"/>
              </w:rPr>
            </w:pPr>
            <w:r>
              <w:rPr>
                <w:rFonts w:hint="eastAsia" w:eastAsia="仿宋_GB2312"/>
                <w:kern w:val="0"/>
                <w:sz w:val="18"/>
                <w:szCs w:val="18"/>
              </w:rPr>
              <w:t>部分乡镇街道纪委工作量少，支出较少，剩余部分退还县财政</w:t>
            </w:r>
          </w:p>
        </w:tc>
      </w:tr>
      <w:tr>
        <w:tblPrEx>
          <w:tblCellMar>
            <w:top w:w="0" w:type="dxa"/>
            <w:left w:w="0" w:type="dxa"/>
            <w:bottom w:w="0" w:type="dxa"/>
            <w:right w:w="0" w:type="dxa"/>
          </w:tblCellMar>
        </w:tblPrEx>
        <w:trPr>
          <w:trHeight w:val="712"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社会效益</w:t>
            </w:r>
          </w:p>
          <w:p>
            <w:pPr>
              <w:widowControl/>
              <w:spacing w:line="240" w:lineRule="exact"/>
              <w:jc w:val="center"/>
              <w:rPr>
                <w:rFonts w:eastAsia="仿宋_GB2312"/>
                <w:kern w:val="0"/>
                <w:sz w:val="24"/>
              </w:rPr>
            </w:pPr>
            <w:r>
              <w:rPr>
                <w:rFonts w:eastAsia="仿宋_GB2312"/>
                <w:kern w:val="0"/>
                <w:sz w:val="24"/>
              </w:rPr>
              <w:t>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挽回经济损失（万元</w:t>
            </w:r>
            <w:r>
              <w:rPr>
                <w:rFonts w:ascii="宋体" w:hAnsi="宋体" w:cs="宋体"/>
                <w:kern w:val="0"/>
                <w:sz w:val="18"/>
                <w:szCs w:val="18"/>
              </w:rPr>
              <w:t>)</w:t>
            </w:r>
            <w:r>
              <w:rPr>
                <w:rFonts w:hint="eastAsia" w:ascii="宋体" w:hAnsi="宋体" w:cs="宋体"/>
                <w:kern w:val="0"/>
                <w:sz w:val="18"/>
                <w:szCs w:val="18"/>
              </w:rPr>
              <w:t>　</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hint="eastAsia" w:eastAsia="仿宋_GB2312"/>
                <w:kern w:val="0"/>
                <w:sz w:val="24"/>
              </w:rPr>
              <w:t>〉0</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68.52</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15</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15</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709" w:hRule="atLeast"/>
        </w:trPr>
        <w:tc>
          <w:tcPr>
            <w:tcW w:w="586" w:type="dxa"/>
            <w:vMerge w:val="restart"/>
            <w:tcBorders>
              <w:top w:val="single" w:color="auto" w:sz="4" w:space="0"/>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可持续影响</w:t>
            </w:r>
          </w:p>
          <w:p>
            <w:pPr>
              <w:widowControl/>
              <w:spacing w:line="240" w:lineRule="exact"/>
              <w:jc w:val="center"/>
              <w:rPr>
                <w:rFonts w:eastAsia="仿宋_GB2312"/>
                <w:kern w:val="0"/>
                <w:sz w:val="24"/>
              </w:rPr>
            </w:pPr>
            <w:r>
              <w:rPr>
                <w:rFonts w:eastAsia="仿宋_GB2312"/>
                <w:kern w:val="0"/>
                <w:sz w:val="24"/>
              </w:rPr>
              <w:t>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管理与实施制度的健全性　</w:t>
            </w:r>
          </w:p>
        </w:tc>
        <w:tc>
          <w:tcPr>
            <w:tcW w:w="100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健全</w:t>
            </w:r>
          </w:p>
        </w:tc>
        <w:tc>
          <w:tcPr>
            <w:tcW w:w="927"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健全</w:t>
            </w:r>
          </w:p>
        </w:tc>
        <w:tc>
          <w:tcPr>
            <w:tcW w:w="53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54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c>
          <w:tcPr>
            <w:tcW w:w="586" w:type="dxa"/>
            <w:vMerge w:val="continue"/>
            <w:tcBorders>
              <w:left w:val="single" w:color="auto" w:sz="4" w:space="0"/>
              <w:bottom w:val="nil"/>
              <w:right w:val="single" w:color="auto" w:sz="4" w:space="0"/>
              <w:tl2br w:val="nil"/>
              <w:tr2bl w:val="nil"/>
            </w:tcBorders>
            <w:vAlign w:val="center"/>
          </w:tcPr>
          <w:p/>
        </w:tc>
        <w:tc>
          <w:tcPr>
            <w:tcW w:w="626" w:type="dxa"/>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满意度</w:t>
            </w:r>
          </w:p>
          <w:p>
            <w:pPr>
              <w:widowControl/>
              <w:spacing w:line="240" w:lineRule="exact"/>
              <w:jc w:val="center"/>
              <w:rPr>
                <w:rFonts w:eastAsia="仿宋_GB2312"/>
                <w:kern w:val="0"/>
                <w:sz w:val="24"/>
              </w:rPr>
            </w:pPr>
            <w:r>
              <w:rPr>
                <w:rFonts w:eastAsia="仿宋_GB2312"/>
                <w:kern w:val="0"/>
                <w:sz w:val="24"/>
              </w:rPr>
              <w:t>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服务对象满意度指标</w:t>
            </w:r>
          </w:p>
        </w:tc>
        <w:tc>
          <w:tcPr>
            <w:tcW w:w="1718"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人民群众的满意度　</w:t>
            </w:r>
          </w:p>
        </w:tc>
        <w:tc>
          <w:tcPr>
            <w:tcW w:w="1005"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85%</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95%</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trHeight w:val="671" w:hRule="atLeast"/>
        </w:trPr>
        <w:tc>
          <w:tcPr>
            <w:tcW w:w="6327" w:type="dxa"/>
            <w:gridSpan w:val="8"/>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总分</w:t>
            </w:r>
          </w:p>
        </w:tc>
        <w:tc>
          <w:tcPr>
            <w:tcW w:w="532"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100</w:t>
            </w:r>
          </w:p>
        </w:tc>
        <w:tc>
          <w:tcPr>
            <w:tcW w:w="546"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88.4</w:t>
            </w:r>
          </w:p>
        </w:tc>
        <w:tc>
          <w:tcPr>
            <w:tcW w:w="1456" w:type="dxa"/>
            <w:gridSpan w:val="3"/>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bl>
    <w:p>
      <w:pPr>
        <w:widowControl/>
        <w:jc w:val="left"/>
        <w:rPr>
          <w:rFonts w:eastAsia="仿宋_GB2312"/>
          <w:color w:val="000000"/>
          <w:kern w:val="0"/>
          <w:sz w:val="24"/>
        </w:rPr>
      </w:pPr>
      <w:r>
        <w:rPr>
          <w:rFonts w:eastAsia="仿宋_GB2312"/>
          <w:color w:val="000000"/>
          <w:kern w:val="0"/>
          <w:sz w:val="24"/>
        </w:rPr>
        <w:t>填报单位负责人（签名）：                   填报日期：</w:t>
      </w:r>
    </w:p>
    <w:p>
      <w:pPr>
        <w:widowControl/>
        <w:jc w:val="left"/>
        <w:rPr>
          <w:rFonts w:eastAsia="仿宋_GB2312"/>
          <w:color w:val="000000"/>
          <w:kern w:val="0"/>
          <w:sz w:val="24"/>
        </w:rPr>
      </w:pPr>
      <w:r>
        <w:rPr>
          <w:rFonts w:eastAsia="仿宋_GB2312"/>
          <w:color w:val="000000"/>
          <w:kern w:val="0"/>
          <w:sz w:val="24"/>
        </w:rPr>
        <w:t>填报人：                                   联系方式：</w:t>
      </w:r>
    </w:p>
    <w:tbl>
      <w:tblPr>
        <w:tblStyle w:val="9"/>
        <w:tblW w:w="8835" w:type="dxa"/>
        <w:tblInd w:w="15" w:type="dxa"/>
        <w:tblLayout w:type="fixed"/>
        <w:tblCellMar>
          <w:top w:w="0" w:type="dxa"/>
          <w:left w:w="0" w:type="dxa"/>
          <w:bottom w:w="0" w:type="dxa"/>
          <w:right w:w="0" w:type="dxa"/>
        </w:tblCellMar>
      </w:tblPr>
      <w:tblGrid>
        <w:gridCol w:w="586"/>
        <w:gridCol w:w="626"/>
        <w:gridCol w:w="1465"/>
        <w:gridCol w:w="730"/>
        <w:gridCol w:w="972"/>
        <w:gridCol w:w="28"/>
        <w:gridCol w:w="993"/>
        <w:gridCol w:w="927"/>
        <w:gridCol w:w="196"/>
        <w:gridCol w:w="565"/>
        <w:gridCol w:w="205"/>
        <w:gridCol w:w="112"/>
        <w:gridCol w:w="784"/>
        <w:gridCol w:w="600"/>
        <w:gridCol w:w="46"/>
      </w:tblGrid>
      <w:tr>
        <w:tblPrEx>
          <w:tblCellMar>
            <w:top w:w="0" w:type="dxa"/>
            <w:left w:w="0" w:type="dxa"/>
            <w:bottom w:w="0" w:type="dxa"/>
            <w:right w:w="0" w:type="dxa"/>
          </w:tblCellMar>
        </w:tblPrEx>
        <w:trPr>
          <w:trHeight w:val="375" w:hRule="atLeast"/>
        </w:trPr>
        <w:tc>
          <w:tcPr>
            <w:tcW w:w="8835" w:type="dxa"/>
            <w:gridSpan w:val="15"/>
            <w:tcBorders>
              <w:top w:val="nil"/>
              <w:left w:val="nil"/>
              <w:bottom w:val="nil"/>
              <w:right w:val="nil"/>
              <w:tl2br w:val="nil"/>
              <w:tr2bl w:val="nil"/>
            </w:tcBorders>
            <w:tcMar>
              <w:top w:w="15" w:type="dxa"/>
              <w:left w:w="15" w:type="dxa"/>
              <w:right w:w="15" w:type="dxa"/>
            </w:tcMar>
            <w:vAlign w:val="center"/>
          </w:tcPr>
          <w:p>
            <w:pPr>
              <w:widowControl/>
              <w:jc w:val="center"/>
              <w:textAlignment w:val="center"/>
              <w:rPr>
                <w:rFonts w:eastAsia="仿宋_GB2312"/>
                <w:color w:val="000000"/>
                <w:sz w:val="24"/>
                <w:szCs w:val="28"/>
              </w:rPr>
            </w:pPr>
            <w:r>
              <w:rPr>
                <w:rFonts w:eastAsia="方正小标宋简体"/>
                <w:kern w:val="0"/>
                <w:sz w:val="44"/>
                <w:szCs w:val="44"/>
              </w:rPr>
              <w:t>项目支出绩效自评表</w:t>
            </w:r>
          </w:p>
        </w:tc>
      </w:tr>
      <w:tr>
        <w:tblPrEx>
          <w:tblCellMar>
            <w:top w:w="0" w:type="dxa"/>
            <w:left w:w="0" w:type="dxa"/>
            <w:bottom w:w="0" w:type="dxa"/>
            <w:right w:w="0" w:type="dxa"/>
          </w:tblCellMar>
        </w:tblPrEx>
        <w:trPr>
          <w:gridAfter w:val="1"/>
          <w:wAfter w:w="46" w:type="dxa"/>
          <w:trHeight w:val="259" w:hRule="atLeast"/>
        </w:trPr>
        <w:tc>
          <w:tcPr>
            <w:tcW w:w="8789" w:type="dxa"/>
            <w:gridSpan w:val="14"/>
            <w:tcBorders>
              <w:top w:val="nil"/>
              <w:left w:val="nil"/>
              <w:bottom w:val="nil"/>
              <w:right w:val="nil"/>
              <w:tl2br w:val="nil"/>
              <w:tr2bl w:val="nil"/>
            </w:tcBorders>
          </w:tcPr>
          <w:p>
            <w:pPr>
              <w:widowControl/>
              <w:spacing w:line="240" w:lineRule="exact"/>
              <w:jc w:val="center"/>
              <w:rPr>
                <w:kern w:val="0"/>
                <w:sz w:val="22"/>
              </w:rPr>
            </w:pPr>
            <w:r>
              <w:rPr>
                <w:rFonts w:eastAsia="仿宋_GB2312"/>
                <w:kern w:val="0"/>
                <w:sz w:val="24"/>
              </w:rPr>
              <w:t>（</w:t>
            </w:r>
            <w:r>
              <w:rPr>
                <w:rFonts w:hint="eastAsia" w:eastAsia="仿宋_GB2312"/>
                <w:kern w:val="0"/>
                <w:sz w:val="24"/>
              </w:rPr>
              <w:t>2019</w:t>
            </w:r>
            <w:r>
              <w:rPr>
                <w:rFonts w:eastAsia="仿宋_GB2312"/>
                <w:kern w:val="0"/>
                <w:sz w:val="24"/>
              </w:rPr>
              <w:t>年度）</w:t>
            </w:r>
          </w:p>
        </w:tc>
      </w:tr>
      <w:tr>
        <w:tblPrEx>
          <w:tblCellMar>
            <w:top w:w="0" w:type="dxa"/>
            <w:left w:w="0" w:type="dxa"/>
            <w:bottom w:w="0" w:type="dxa"/>
            <w:right w:w="0" w:type="dxa"/>
          </w:tblCellMar>
        </w:tblPrEx>
        <w:trPr>
          <w:gridAfter w:val="1"/>
          <w:wAfter w:w="46" w:type="dxa"/>
          <w:trHeight w:val="480" w:hRule="atLeast"/>
        </w:trPr>
        <w:tc>
          <w:tcPr>
            <w:tcW w:w="1212"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项目名称</w:t>
            </w:r>
          </w:p>
        </w:tc>
        <w:tc>
          <w:tcPr>
            <w:tcW w:w="7577" w:type="dxa"/>
            <w:gridSpan w:val="1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八一退役军人慰问项目</w:t>
            </w:r>
          </w:p>
        </w:tc>
      </w:tr>
      <w:tr>
        <w:tblPrEx>
          <w:tblCellMar>
            <w:top w:w="0" w:type="dxa"/>
            <w:left w:w="0" w:type="dxa"/>
            <w:bottom w:w="0" w:type="dxa"/>
            <w:right w:w="0" w:type="dxa"/>
          </w:tblCellMar>
        </w:tblPrEx>
        <w:trPr>
          <w:gridAfter w:val="1"/>
          <w:wAfter w:w="46" w:type="dxa"/>
          <w:trHeight w:val="699" w:hRule="atLeast"/>
        </w:trPr>
        <w:tc>
          <w:tcPr>
            <w:tcW w:w="1212"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主管部门</w:t>
            </w:r>
          </w:p>
        </w:tc>
        <w:tc>
          <w:tcPr>
            <w:tcW w:w="4188" w:type="dxa"/>
            <w:gridSpan w:val="5"/>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实施单位</w:t>
            </w:r>
          </w:p>
        </w:tc>
        <w:tc>
          <w:tcPr>
            <w:tcW w:w="2266" w:type="dxa"/>
            <w:gridSpan w:val="5"/>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中国共产党永清县纪律检查委员会</w:t>
            </w:r>
          </w:p>
        </w:tc>
      </w:tr>
      <w:tr>
        <w:tblPrEx>
          <w:tblCellMar>
            <w:top w:w="0" w:type="dxa"/>
            <w:left w:w="0" w:type="dxa"/>
            <w:bottom w:w="0" w:type="dxa"/>
            <w:right w:w="0" w:type="dxa"/>
          </w:tblCellMar>
        </w:tblPrEx>
        <w:trPr>
          <w:gridAfter w:val="1"/>
          <w:wAfter w:w="46" w:type="dxa"/>
        </w:trPr>
        <w:tc>
          <w:tcPr>
            <w:tcW w:w="1212" w:type="dxa"/>
            <w:gridSpan w:val="2"/>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项目资金</w:t>
            </w:r>
            <w:r>
              <w:rPr>
                <w:rFonts w:eastAsia="仿宋_GB2312"/>
                <w:kern w:val="0"/>
                <w:sz w:val="24"/>
              </w:rPr>
              <w:br w:type="textWrapping"/>
            </w:r>
            <w:r>
              <w:rPr>
                <w:rFonts w:eastAsia="仿宋_GB2312"/>
                <w:kern w:val="0"/>
                <w:sz w:val="24"/>
              </w:rPr>
              <w:t>（万元）</w:t>
            </w: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年初</w:t>
            </w:r>
          </w:p>
          <w:p>
            <w:pPr>
              <w:widowControl/>
              <w:spacing w:line="240" w:lineRule="exact"/>
              <w:jc w:val="center"/>
              <w:rPr>
                <w:rFonts w:eastAsia="仿宋_GB2312"/>
                <w:kern w:val="0"/>
                <w:sz w:val="24"/>
              </w:rPr>
            </w:pPr>
            <w:r>
              <w:rPr>
                <w:rFonts w:eastAsia="仿宋_GB2312"/>
                <w:kern w:val="0"/>
                <w:sz w:val="24"/>
              </w:rPr>
              <w:t>预算数</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预算数</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全年</w:t>
            </w:r>
          </w:p>
          <w:p>
            <w:pPr>
              <w:widowControl/>
              <w:spacing w:line="240" w:lineRule="exact"/>
              <w:jc w:val="center"/>
              <w:rPr>
                <w:rFonts w:eastAsia="仿宋_GB2312"/>
                <w:kern w:val="0"/>
                <w:sz w:val="24"/>
              </w:rPr>
            </w:pPr>
            <w:r>
              <w:rPr>
                <w:rFonts w:eastAsia="仿宋_GB2312"/>
                <w:kern w:val="0"/>
                <w:sz w:val="24"/>
              </w:rPr>
              <w:t>执行数</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执行率</w:t>
            </w:r>
          </w:p>
        </w:tc>
        <w:tc>
          <w:tcPr>
            <w:tcW w:w="600"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r>
      <w:tr>
        <w:tblPrEx>
          <w:tblCellMar>
            <w:top w:w="0" w:type="dxa"/>
            <w:left w:w="0" w:type="dxa"/>
            <w:bottom w:w="0" w:type="dxa"/>
            <w:right w:w="0" w:type="dxa"/>
          </w:tblCellMar>
        </w:tblPrEx>
        <w:trPr>
          <w:gridAfter w:val="1"/>
          <w:wAfter w:w="46" w:type="dxa"/>
          <w:trHeight w:val="490"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eastAsia="仿宋_GB2312"/>
                <w:kern w:val="0"/>
                <w:sz w:val="24"/>
              </w:rPr>
              <w:t>年度资金总额</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0.54</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0.54</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0.27</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50%</w:t>
            </w:r>
          </w:p>
        </w:tc>
        <w:tc>
          <w:tcPr>
            <w:tcW w:w="600"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8</w:t>
            </w:r>
          </w:p>
        </w:tc>
      </w:tr>
      <w:tr>
        <w:tblPrEx>
          <w:tblCellMar>
            <w:top w:w="0" w:type="dxa"/>
            <w:left w:w="0" w:type="dxa"/>
            <w:bottom w:w="0" w:type="dxa"/>
            <w:right w:w="0" w:type="dxa"/>
          </w:tblCellMar>
        </w:tblPrEx>
        <w:trPr>
          <w:gridAfter w:val="1"/>
          <w:wAfter w:w="46" w:type="dxa"/>
          <w:trHeight w:val="425"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其中：当年财政拨款</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0.54</w:t>
            </w: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0.54</w:t>
            </w: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0.27</w:t>
            </w: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50%</w:t>
            </w:r>
          </w:p>
        </w:tc>
        <w:tc>
          <w:tcPr>
            <w:tcW w:w="600"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gridAfter w:val="1"/>
          <w:wAfter w:w="46" w:type="dxa"/>
          <w:trHeight w:val="403"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kern w:val="0"/>
                <w:sz w:val="24"/>
              </w:rPr>
            </w:pPr>
            <w:r>
              <w:rPr>
                <w:rFonts w:eastAsia="仿宋_GB2312"/>
                <w:kern w:val="0"/>
                <w:sz w:val="24"/>
              </w:rPr>
              <w:t xml:space="preserve">      上年结转资金</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00"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gridAfter w:val="1"/>
          <w:wAfter w:w="46" w:type="dxa"/>
          <w:trHeight w:val="409" w:hRule="atLeast"/>
        </w:trPr>
        <w:tc>
          <w:tcPr>
            <w:tcW w:w="1212" w:type="dxa"/>
            <w:gridSpan w:val="2"/>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2195"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 xml:space="preserve">  其他资金</w:t>
            </w:r>
          </w:p>
        </w:tc>
        <w:tc>
          <w:tcPr>
            <w:tcW w:w="100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93"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123"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70"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c>
          <w:tcPr>
            <w:tcW w:w="896"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600"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w:t>
            </w:r>
          </w:p>
        </w:tc>
      </w:tr>
      <w:tr>
        <w:tblPrEx>
          <w:tblCellMar>
            <w:top w:w="0" w:type="dxa"/>
            <w:left w:w="0" w:type="dxa"/>
            <w:bottom w:w="0" w:type="dxa"/>
            <w:right w:w="0" w:type="dxa"/>
          </w:tblCellMar>
        </w:tblPrEx>
        <w:trPr>
          <w:gridAfter w:val="1"/>
          <w:wAfter w:w="46" w:type="dxa"/>
          <w:trHeight w:val="573" w:hRule="atLeast"/>
        </w:trPr>
        <w:tc>
          <w:tcPr>
            <w:tcW w:w="586"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年度总体目标</w:t>
            </w:r>
          </w:p>
        </w:tc>
        <w:tc>
          <w:tcPr>
            <w:tcW w:w="4814"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预期目标</w:t>
            </w:r>
          </w:p>
        </w:tc>
        <w:tc>
          <w:tcPr>
            <w:tcW w:w="3389" w:type="dxa"/>
            <w:gridSpan w:val="7"/>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实际完成情况</w:t>
            </w:r>
          </w:p>
        </w:tc>
      </w:tr>
      <w:tr>
        <w:tblPrEx>
          <w:tblCellMar>
            <w:top w:w="0" w:type="dxa"/>
            <w:left w:w="0" w:type="dxa"/>
            <w:bottom w:w="0" w:type="dxa"/>
            <w:right w:w="0" w:type="dxa"/>
          </w:tblCellMar>
        </w:tblPrEx>
        <w:trPr>
          <w:gridAfter w:val="1"/>
          <w:wAfter w:w="46" w:type="dxa"/>
        </w:trPr>
        <w:tc>
          <w:tcPr>
            <w:tcW w:w="586" w:type="dxa"/>
            <w:vMerge w:val="continue"/>
            <w:tcBorders>
              <w:top w:val="nil"/>
              <w:left w:val="single" w:color="auto" w:sz="4" w:space="0"/>
              <w:bottom w:val="single" w:color="auto" w:sz="4" w:space="0"/>
              <w:right w:val="single" w:color="auto" w:sz="4" w:space="0"/>
              <w:tl2br w:val="nil"/>
              <w:tr2bl w:val="nil"/>
            </w:tcBorders>
            <w:vAlign w:val="center"/>
          </w:tcPr>
          <w:p/>
        </w:tc>
        <w:tc>
          <w:tcPr>
            <w:tcW w:w="4814" w:type="dxa"/>
            <w:gridSpan w:val="6"/>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ascii="宋体" w:hAnsi="宋体" w:cs="宋体"/>
                <w:kern w:val="0"/>
                <w:sz w:val="18"/>
                <w:szCs w:val="18"/>
              </w:rPr>
              <w:t>八一，做好拥军优属，拥政爱民工作，进一步巩固和加强军政军民团结。</w:t>
            </w:r>
          </w:p>
        </w:tc>
        <w:tc>
          <w:tcPr>
            <w:tcW w:w="3389" w:type="dxa"/>
            <w:gridSpan w:val="7"/>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ascii="宋体" w:hAnsi="宋体" w:cs="宋体"/>
                <w:kern w:val="0"/>
                <w:sz w:val="18"/>
                <w:szCs w:val="18"/>
              </w:rPr>
              <w:t>八一，做好拥军优属，拥政爱民工作，进一步巩固和加强军政军民团结。</w:t>
            </w:r>
          </w:p>
        </w:tc>
      </w:tr>
      <w:tr>
        <w:tblPrEx>
          <w:tblCellMar>
            <w:top w:w="0" w:type="dxa"/>
            <w:left w:w="0" w:type="dxa"/>
            <w:bottom w:w="0" w:type="dxa"/>
            <w:right w:w="0" w:type="dxa"/>
          </w:tblCellMar>
        </w:tblPrEx>
        <w:trPr>
          <w:gridAfter w:val="1"/>
          <w:wAfter w:w="46" w:type="dxa"/>
        </w:trPr>
        <w:tc>
          <w:tcPr>
            <w:tcW w:w="586" w:type="dxa"/>
            <w:vMerge w:val="restart"/>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绩</w:t>
            </w:r>
            <w:r>
              <w:rPr>
                <w:rFonts w:eastAsia="仿宋_GB2312"/>
                <w:kern w:val="0"/>
                <w:sz w:val="24"/>
              </w:rPr>
              <w:br w:type="textWrapping"/>
            </w:r>
            <w:r>
              <w:rPr>
                <w:rFonts w:eastAsia="仿宋_GB2312"/>
                <w:kern w:val="0"/>
                <w:sz w:val="24"/>
              </w:rPr>
              <w:t>效</w:t>
            </w:r>
            <w:r>
              <w:rPr>
                <w:rFonts w:eastAsia="仿宋_GB2312"/>
                <w:kern w:val="0"/>
                <w:sz w:val="24"/>
              </w:rPr>
              <w:br w:type="textWrapping"/>
            </w:r>
            <w:r>
              <w:rPr>
                <w:rFonts w:eastAsia="仿宋_GB2312"/>
                <w:kern w:val="0"/>
                <w:sz w:val="24"/>
              </w:rPr>
              <w:t>指</w:t>
            </w:r>
            <w:r>
              <w:rPr>
                <w:rFonts w:eastAsia="仿宋_GB2312"/>
                <w:kern w:val="0"/>
                <w:sz w:val="24"/>
              </w:rPr>
              <w:br w:type="textWrapping"/>
            </w:r>
            <w:r>
              <w:rPr>
                <w:rFonts w:eastAsia="仿宋_GB2312"/>
                <w:kern w:val="0"/>
                <w:sz w:val="24"/>
              </w:rPr>
              <w:t>标</w:t>
            </w:r>
          </w:p>
        </w:tc>
        <w:tc>
          <w:tcPr>
            <w:tcW w:w="626"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一级指标</w:t>
            </w:r>
          </w:p>
        </w:tc>
        <w:tc>
          <w:tcPr>
            <w:tcW w:w="1465"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二级指标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三级指标</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年度</w:t>
            </w:r>
          </w:p>
          <w:p>
            <w:pPr>
              <w:widowControl/>
              <w:spacing w:line="240" w:lineRule="exact"/>
              <w:jc w:val="center"/>
              <w:rPr>
                <w:rFonts w:eastAsia="仿宋_GB2312"/>
                <w:kern w:val="0"/>
                <w:sz w:val="24"/>
              </w:rPr>
            </w:pPr>
            <w:r>
              <w:rPr>
                <w:rFonts w:eastAsia="仿宋_GB2312"/>
                <w:kern w:val="0"/>
                <w:sz w:val="24"/>
              </w:rPr>
              <w:t>指标值</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实际</w:t>
            </w:r>
          </w:p>
          <w:p>
            <w:pPr>
              <w:widowControl/>
              <w:spacing w:line="240" w:lineRule="exact"/>
              <w:jc w:val="center"/>
              <w:rPr>
                <w:rFonts w:eastAsia="仿宋_GB2312"/>
                <w:kern w:val="0"/>
                <w:sz w:val="24"/>
              </w:rPr>
            </w:pPr>
            <w:r>
              <w:rPr>
                <w:rFonts w:eastAsia="仿宋_GB2312"/>
                <w:kern w:val="0"/>
                <w:sz w:val="24"/>
              </w:rPr>
              <w:t>完成值</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分值</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得分</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偏差原因分析及改进措施</w:t>
            </w:r>
          </w:p>
        </w:tc>
      </w:tr>
      <w:tr>
        <w:tblPrEx>
          <w:tblCellMar>
            <w:top w:w="0" w:type="dxa"/>
            <w:left w:w="0" w:type="dxa"/>
            <w:bottom w:w="0" w:type="dxa"/>
            <w:right w:w="0" w:type="dxa"/>
          </w:tblCellMar>
        </w:tblPrEx>
        <w:trPr>
          <w:gridAfter w:val="1"/>
          <w:wAfter w:w="46" w:type="dxa"/>
          <w:trHeight w:val="613"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restart"/>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产出指标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数量指标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享受军人慰问金人数</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7</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gridAfter w:val="1"/>
          <w:wAfter w:w="46" w:type="dxa"/>
          <w:trHeight w:val="551"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质量指标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保证按时保质保量发放到位率</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100</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100</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gridAfter w:val="1"/>
          <w:wAfter w:w="46" w:type="dxa"/>
          <w:trHeight w:val="700"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时效指标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慰问的及时性</w:t>
            </w:r>
          </w:p>
        </w:tc>
        <w:tc>
          <w:tcPr>
            <w:tcW w:w="102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8月31日前</w:t>
            </w:r>
          </w:p>
        </w:tc>
        <w:tc>
          <w:tcPr>
            <w:tcW w:w="927"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8月1日</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20</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20</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gridAfter w:val="1"/>
          <w:wAfter w:w="46" w:type="dxa"/>
          <w:trHeight w:val="778"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vMerge w:val="continue"/>
            <w:tcBorders>
              <w:top w:val="nil"/>
              <w:left w:val="single" w:color="auto" w:sz="4" w:space="0"/>
              <w:bottom w:val="single" w:color="auto" w:sz="4" w:space="0"/>
              <w:right w:val="single" w:color="auto" w:sz="4" w:space="0"/>
              <w:tl2br w:val="nil"/>
              <w:tr2bl w:val="nil"/>
            </w:tcBorders>
            <w:vAlign w:val="center"/>
          </w:tcP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成本指标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发放慰问金标准</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&lt;=5400元</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2700</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20</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14</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ascii="仿宋" w:hAnsi="仿宋" w:eastAsia="仿宋"/>
                <w:kern w:val="0"/>
                <w:sz w:val="15"/>
                <w:szCs w:val="15"/>
              </w:rPr>
            </w:pPr>
            <w:r>
              <w:rPr>
                <w:rFonts w:hint="eastAsia" w:ascii="仿宋" w:hAnsi="仿宋" w:eastAsia="仿宋"/>
                <w:kern w:val="0"/>
                <w:sz w:val="15"/>
                <w:szCs w:val="15"/>
              </w:rPr>
              <w:t>预算含2018及2019年两年慰问金，本年只支出2019年度慰问金。</w:t>
            </w:r>
          </w:p>
        </w:tc>
      </w:tr>
      <w:tr>
        <w:tblPrEx>
          <w:tblCellMar>
            <w:top w:w="0" w:type="dxa"/>
            <w:left w:w="0" w:type="dxa"/>
            <w:bottom w:w="0" w:type="dxa"/>
            <w:right w:w="0" w:type="dxa"/>
          </w:tblCellMar>
        </w:tblPrEx>
        <w:trPr>
          <w:gridAfter w:val="1"/>
          <w:wAfter w:w="46" w:type="dxa"/>
          <w:trHeight w:val="665" w:hRule="atLeast"/>
        </w:trPr>
        <w:tc>
          <w:tcPr>
            <w:tcW w:w="586" w:type="dxa"/>
            <w:vMerge w:val="continue"/>
            <w:tcBorders>
              <w:top w:val="nil"/>
              <w:left w:val="single" w:color="auto" w:sz="4" w:space="0"/>
              <w:bottom w:val="nil"/>
              <w:right w:val="single" w:color="auto" w:sz="4" w:space="0"/>
              <w:tl2br w:val="nil"/>
              <w:tr2bl w:val="nil"/>
            </w:tcBorders>
            <w:vAlign w:val="center"/>
          </w:tcPr>
          <w:p/>
        </w:tc>
        <w:tc>
          <w:tcPr>
            <w:tcW w:w="626"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社会效益</w:t>
            </w:r>
          </w:p>
          <w:p>
            <w:pPr>
              <w:widowControl/>
              <w:spacing w:line="240" w:lineRule="exact"/>
              <w:jc w:val="center"/>
              <w:rPr>
                <w:rFonts w:eastAsia="仿宋_GB2312"/>
                <w:kern w:val="0"/>
                <w:sz w:val="24"/>
              </w:rPr>
            </w:pPr>
            <w:r>
              <w:rPr>
                <w:rFonts w:eastAsia="仿宋_GB2312"/>
                <w:kern w:val="0"/>
                <w:sz w:val="24"/>
              </w:rPr>
              <w:t>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鼓励退役军人投身于家乡的建设工作</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rPr>
                <w:rFonts w:eastAsia="仿宋_GB2312"/>
                <w:kern w:val="0"/>
                <w:sz w:val="24"/>
              </w:rPr>
            </w:pPr>
            <w:r>
              <w:rPr>
                <w:rFonts w:hint="eastAsia" w:eastAsia="仿宋_GB2312"/>
                <w:kern w:val="0"/>
                <w:sz w:val="24"/>
              </w:rPr>
              <w:t>〉0</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2700</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20</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20</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gridAfter w:val="1"/>
          <w:wAfter w:w="46" w:type="dxa"/>
          <w:trHeight w:val="703" w:hRule="atLeast"/>
        </w:trPr>
        <w:tc>
          <w:tcPr>
            <w:tcW w:w="586" w:type="dxa"/>
            <w:vMerge w:val="restart"/>
            <w:tcBorders>
              <w:top w:val="single" w:color="auto" w:sz="4" w:space="0"/>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p>
        </w:tc>
        <w:tc>
          <w:tcPr>
            <w:tcW w:w="626"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效益指标</w:t>
            </w:r>
          </w:p>
        </w:tc>
        <w:tc>
          <w:tcPr>
            <w:tcW w:w="1465"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可持续影响</w:t>
            </w:r>
          </w:p>
          <w:p>
            <w:pPr>
              <w:widowControl/>
              <w:spacing w:line="240" w:lineRule="exact"/>
              <w:jc w:val="center"/>
              <w:rPr>
                <w:rFonts w:eastAsia="仿宋_GB2312"/>
                <w:kern w:val="0"/>
                <w:sz w:val="24"/>
              </w:rPr>
            </w:pPr>
            <w:r>
              <w:rPr>
                <w:rFonts w:eastAsia="仿宋_GB2312"/>
                <w:kern w:val="0"/>
                <w:sz w:val="24"/>
              </w:rPr>
              <w:t>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管理与实施制度的健全性　</w:t>
            </w:r>
          </w:p>
        </w:tc>
        <w:tc>
          <w:tcPr>
            <w:tcW w:w="102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927" w:type="dxa"/>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761"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317"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gridAfter w:val="1"/>
          <w:wAfter w:w="46" w:type="dxa"/>
        </w:trPr>
        <w:tc>
          <w:tcPr>
            <w:tcW w:w="586" w:type="dxa"/>
            <w:vMerge w:val="continue"/>
            <w:tcBorders>
              <w:left w:val="single" w:color="auto" w:sz="4" w:space="0"/>
              <w:bottom w:val="nil"/>
              <w:right w:val="single" w:color="auto" w:sz="4" w:space="0"/>
              <w:tl2br w:val="nil"/>
              <w:tr2bl w:val="nil"/>
            </w:tcBorders>
            <w:vAlign w:val="center"/>
          </w:tcPr>
          <w:p/>
        </w:tc>
        <w:tc>
          <w:tcPr>
            <w:tcW w:w="626" w:type="dxa"/>
            <w:tcBorders>
              <w:top w:val="nil"/>
              <w:left w:val="single" w:color="auto" w:sz="4" w:space="0"/>
              <w:bottom w:val="nil"/>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满意度</w:t>
            </w:r>
          </w:p>
          <w:p>
            <w:pPr>
              <w:widowControl/>
              <w:spacing w:line="240" w:lineRule="exact"/>
              <w:jc w:val="center"/>
              <w:rPr>
                <w:rFonts w:eastAsia="仿宋_GB2312"/>
                <w:kern w:val="0"/>
                <w:sz w:val="24"/>
              </w:rPr>
            </w:pPr>
            <w:r>
              <w:rPr>
                <w:rFonts w:eastAsia="仿宋_GB2312"/>
                <w:kern w:val="0"/>
                <w:sz w:val="24"/>
              </w:rPr>
              <w:t>指标</w:t>
            </w:r>
          </w:p>
        </w:tc>
        <w:tc>
          <w:tcPr>
            <w:tcW w:w="1465" w:type="dxa"/>
            <w:tcBorders>
              <w:top w:val="nil"/>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服务对象满意度指标</w:t>
            </w:r>
          </w:p>
        </w:tc>
        <w:tc>
          <w:tcPr>
            <w:tcW w:w="1702"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left"/>
              <w:rPr>
                <w:rFonts w:eastAsia="仿宋_GB2312"/>
                <w:color w:val="000000"/>
                <w:kern w:val="0"/>
                <w:sz w:val="24"/>
              </w:rPr>
            </w:pPr>
            <w:r>
              <w:rPr>
                <w:rFonts w:hint="eastAsia" w:ascii="宋体" w:hAnsi="宋体" w:cs="宋体"/>
                <w:kern w:val="0"/>
                <w:sz w:val="18"/>
                <w:szCs w:val="18"/>
              </w:rPr>
              <w:t>退役军人满意</w:t>
            </w:r>
          </w:p>
        </w:tc>
        <w:tc>
          <w:tcPr>
            <w:tcW w:w="102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85%</w:t>
            </w:r>
          </w:p>
        </w:tc>
        <w:tc>
          <w:tcPr>
            <w:tcW w:w="927" w:type="dxa"/>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hint="eastAsia" w:eastAsia="仿宋_GB2312"/>
                <w:kern w:val="0"/>
                <w:sz w:val="24"/>
              </w:rPr>
              <w:t>100%</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r>
              <w:rPr>
                <w:rFonts w:eastAsia="仿宋_GB2312"/>
                <w:kern w:val="0"/>
                <w:sz w:val="24"/>
              </w:rPr>
              <w:t>10</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r>
        <w:tblPrEx>
          <w:tblCellMar>
            <w:top w:w="0" w:type="dxa"/>
            <w:left w:w="0" w:type="dxa"/>
            <w:bottom w:w="0" w:type="dxa"/>
            <w:right w:w="0" w:type="dxa"/>
          </w:tblCellMar>
        </w:tblPrEx>
        <w:trPr>
          <w:gridAfter w:val="1"/>
          <w:wAfter w:w="46" w:type="dxa"/>
          <w:trHeight w:val="511" w:hRule="atLeast"/>
        </w:trPr>
        <w:tc>
          <w:tcPr>
            <w:tcW w:w="6327" w:type="dxa"/>
            <w:gridSpan w:val="8"/>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总分</w:t>
            </w:r>
          </w:p>
        </w:tc>
        <w:tc>
          <w:tcPr>
            <w:tcW w:w="761"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eastAsia="仿宋_GB2312"/>
                <w:color w:val="000000"/>
                <w:kern w:val="0"/>
                <w:sz w:val="24"/>
              </w:rPr>
              <w:t>100</w:t>
            </w:r>
          </w:p>
        </w:tc>
        <w:tc>
          <w:tcPr>
            <w:tcW w:w="317" w:type="dxa"/>
            <w:gridSpan w:val="2"/>
            <w:tcBorders>
              <w:top w:val="nil"/>
              <w:left w:val="nil"/>
              <w:bottom w:val="single" w:color="auto" w:sz="4" w:space="0"/>
              <w:right w:val="single" w:color="auto" w:sz="4" w:space="0"/>
              <w:tl2br w:val="nil"/>
              <w:tr2bl w:val="nil"/>
            </w:tcBorders>
            <w:vAlign w:val="center"/>
          </w:tcPr>
          <w:p>
            <w:pPr>
              <w:widowControl/>
              <w:spacing w:line="240" w:lineRule="exact"/>
              <w:jc w:val="center"/>
              <w:rPr>
                <w:rFonts w:eastAsia="仿宋_GB2312"/>
                <w:color w:val="000000"/>
                <w:kern w:val="0"/>
                <w:sz w:val="24"/>
              </w:rPr>
            </w:pPr>
            <w:r>
              <w:rPr>
                <w:rFonts w:hint="eastAsia" w:eastAsia="仿宋_GB2312"/>
                <w:color w:val="000000"/>
                <w:kern w:val="0"/>
                <w:sz w:val="24"/>
              </w:rPr>
              <w:t>92</w:t>
            </w:r>
          </w:p>
        </w:tc>
        <w:tc>
          <w:tcPr>
            <w:tcW w:w="1384" w:type="dxa"/>
            <w:gridSpan w:val="2"/>
            <w:tcBorders>
              <w:top w:val="single" w:color="auto" w:sz="4" w:space="0"/>
              <w:left w:val="nil"/>
              <w:bottom w:val="single" w:color="auto" w:sz="4" w:space="0"/>
              <w:right w:val="single" w:color="auto" w:sz="4" w:space="0"/>
              <w:tl2br w:val="nil"/>
              <w:tr2bl w:val="nil"/>
            </w:tcBorders>
            <w:vAlign w:val="center"/>
          </w:tcPr>
          <w:p>
            <w:pPr>
              <w:widowControl/>
              <w:spacing w:line="240" w:lineRule="exact"/>
              <w:jc w:val="center"/>
              <w:rPr>
                <w:rFonts w:eastAsia="仿宋_GB2312"/>
                <w:kern w:val="0"/>
                <w:sz w:val="24"/>
              </w:rPr>
            </w:pPr>
          </w:p>
        </w:tc>
      </w:tr>
    </w:tbl>
    <w:p>
      <w:pPr>
        <w:widowControl/>
        <w:jc w:val="left"/>
        <w:rPr>
          <w:rFonts w:eastAsia="仿宋_GB2312"/>
          <w:color w:val="000000"/>
          <w:kern w:val="0"/>
          <w:sz w:val="24"/>
        </w:rPr>
      </w:pPr>
      <w:r>
        <w:rPr>
          <w:rFonts w:eastAsia="仿宋_GB2312"/>
          <w:color w:val="000000"/>
          <w:kern w:val="0"/>
          <w:sz w:val="24"/>
        </w:rPr>
        <w:t>填报单位负责人（签名）：                   填报日期：</w:t>
      </w:r>
    </w:p>
    <w:p>
      <w:pPr>
        <w:widowControl/>
        <w:jc w:val="left"/>
        <w:rPr>
          <w:rFonts w:eastAsia="仿宋_GB2312"/>
          <w:color w:val="000000"/>
          <w:kern w:val="0"/>
          <w:sz w:val="24"/>
        </w:rPr>
      </w:pPr>
      <w:r>
        <w:rPr>
          <w:rFonts w:eastAsia="仿宋_GB2312"/>
          <w:color w:val="000000"/>
          <w:kern w:val="0"/>
          <w:sz w:val="24"/>
        </w:rPr>
        <w:t>填报人：                                   联系方式：</w:t>
      </w:r>
    </w:p>
    <w:p>
      <w:pPr>
        <w:pStyle w:val="14"/>
        <w:spacing w:line="580" w:lineRule="auto"/>
        <w:ind w:firstLine="420"/>
        <w:rPr>
          <w:rFonts w:ascii="Times New Roman" w:hAnsi="Times New Roman" w:eastAsia="仿宋_GB2312" w:cs="Times New Roman"/>
          <w:kern w:val="2"/>
          <w:sz w:val="32"/>
          <w:szCs w:val="32"/>
        </w:rPr>
      </w:pPr>
      <w:r>
        <w:rPr>
          <w:rFonts w:hint="eastAsia" w:ascii="仿宋_GB2312" w:hAnsi="Times New Roman" w:eastAsia="仿宋_GB2312" w:cs="Times New Roman"/>
          <w:b/>
          <w:bCs/>
          <w:color w:val="000000"/>
          <w:kern w:val="2"/>
          <w:sz w:val="32"/>
          <w:szCs w:val="32"/>
        </w:rPr>
        <w:t>3.部门整体绩效自评结果。</w:t>
      </w:r>
      <w:r>
        <w:rPr>
          <w:rFonts w:ascii="Times New Roman" w:hAnsi="Times New Roman" w:eastAsia="仿宋_GB2312" w:cs="Times New Roman"/>
          <w:kern w:val="2"/>
          <w:sz w:val="32"/>
          <w:szCs w:val="32"/>
        </w:rPr>
        <w:t>本部门对2019年度部门整体绩效进行自评价，自评得分</w:t>
      </w:r>
      <w:r>
        <w:rPr>
          <w:rFonts w:hint="eastAsia" w:ascii="Times New Roman" w:hAnsi="Times New Roman" w:eastAsia="仿宋_GB2312" w:cs="Times New Roman"/>
          <w:kern w:val="2"/>
          <w:sz w:val="32"/>
          <w:szCs w:val="32"/>
        </w:rPr>
        <w:t>84.608</w:t>
      </w:r>
      <w:r>
        <w:rPr>
          <w:rFonts w:ascii="Times New Roman" w:hAnsi="Times New Roman" w:eastAsia="仿宋_GB2312" w:cs="Times New Roman"/>
          <w:kern w:val="2"/>
          <w:sz w:val="32"/>
          <w:szCs w:val="32"/>
        </w:rPr>
        <w:t>分，评价等级为良。从评价情况来看，我委较好完成了2019 年履行职能职责和各项重点工作任务，整体绩效情况较为理想，总体上达到了预算绩效管理的要求。</w:t>
      </w:r>
    </w:p>
    <w:p>
      <w:pPr>
        <w:pStyle w:val="14"/>
        <w:spacing w:line="580" w:lineRule="auto"/>
        <w:ind w:firstLine="420"/>
        <w:rPr>
          <w:rFonts w:ascii="Times New Roman" w:hAnsi="Times New Roman" w:eastAsia="仿宋_GB2312" w:cs="Times New Roman"/>
          <w:kern w:val="2"/>
          <w:sz w:val="32"/>
          <w:szCs w:val="32"/>
        </w:rPr>
      </w:pPr>
    </w:p>
    <w:tbl>
      <w:tblPr>
        <w:tblStyle w:val="9"/>
        <w:tblW w:w="8941"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 w:type="dxa"/>
          <w:bottom w:w="0" w:type="dxa"/>
          <w:right w:w="10" w:type="dxa"/>
        </w:tblCellMar>
      </w:tblPr>
      <w:tblGrid>
        <w:gridCol w:w="562"/>
        <w:gridCol w:w="590"/>
        <w:gridCol w:w="388"/>
        <w:gridCol w:w="858"/>
        <w:gridCol w:w="791"/>
        <w:gridCol w:w="1152"/>
        <w:gridCol w:w="603"/>
        <w:gridCol w:w="1045"/>
        <w:gridCol w:w="951"/>
        <w:gridCol w:w="200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870" w:hRule="atLeast"/>
        </w:trPr>
        <w:tc>
          <w:tcPr>
            <w:tcW w:w="8941" w:type="dxa"/>
            <w:gridSpan w:val="10"/>
            <w:vAlign w:val="center"/>
          </w:tcPr>
          <w:p>
            <w:pPr>
              <w:jc w:val="center"/>
            </w:pPr>
            <w:r>
              <w:br w:type="textWrapping"/>
            </w:r>
            <w:r>
              <w:rPr>
                <w:rFonts w:hint="eastAsia" w:ascii="Times New Roman" w:hAnsi="Times New Roman" w:cs="Times New Roman"/>
              </w:rPr>
              <w:t>中国共产党永清县纪律检查委员会</w:t>
            </w:r>
            <w:r>
              <w:rPr>
                <w:rFonts w:ascii="Times New Roman" w:hAnsi="Times New Roman" w:eastAsia="Times New Roman" w:cs="Times New Roman"/>
              </w:rPr>
              <w:t>整体绩效自评表</w:t>
            </w:r>
          </w:p>
          <w:p>
            <w:pPr>
              <w:jc w:val="center"/>
            </w:pPr>
            <w:r>
              <w:rPr>
                <w:rFonts w:ascii="Times New Roman" w:hAnsi="Times New Roman" w:eastAsia="Times New Roman" w:cs="Times New Roman"/>
                <w:color w:val="000000"/>
              </w:rPr>
              <w:t xml:space="preserve">（ </w:t>
            </w:r>
            <w:r>
              <w:rPr>
                <w:rFonts w:hint="eastAsia" w:ascii="Times New Roman" w:hAnsi="Times New Roman" w:cs="Times New Roman"/>
                <w:color w:val="000000"/>
              </w:rPr>
              <w:t>2019</w:t>
            </w:r>
            <w:r>
              <w:rPr>
                <w:rFonts w:ascii="Times New Roman" w:hAnsi="Times New Roman" w:eastAsia="Times New Roman" w:cs="Times New Roman"/>
                <w:color w:val="000000"/>
              </w:rPr>
              <w:t xml:space="preserve"> 年度）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45" w:hRule="atLeast"/>
        </w:trPr>
        <w:tc>
          <w:tcPr>
            <w:tcW w:w="2398" w:type="dxa"/>
            <w:gridSpan w:val="4"/>
            <w:vAlign w:val="center"/>
          </w:tcPr>
          <w:p>
            <w:pPr>
              <w:jc w:val="center"/>
            </w:pPr>
            <w:r>
              <w:rPr>
                <w:rFonts w:ascii="Times New Roman" w:hAnsi="Times New Roman" w:eastAsia="Times New Roman" w:cs="Times New Roman"/>
              </w:rPr>
              <w:t>部门（单位）名称</w:t>
            </w:r>
          </w:p>
        </w:tc>
        <w:tc>
          <w:tcPr>
            <w:tcW w:w="6543" w:type="dxa"/>
            <w:gridSpan w:val="6"/>
            <w:vAlign w:val="center"/>
          </w:tcPr>
          <w:p>
            <w:pPr>
              <w:jc w:val="center"/>
            </w:pPr>
            <w:r>
              <w:rPr>
                <w:rFonts w:hint="eastAsia"/>
              </w:rPr>
              <w:t>中国共产党永清县纪律检查委员会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90" w:hRule="atLeast"/>
        </w:trPr>
        <w:tc>
          <w:tcPr>
            <w:tcW w:w="562" w:type="dxa"/>
            <w:vMerge w:val="restart"/>
            <w:vAlign w:val="center"/>
          </w:tcPr>
          <w:p>
            <w:pPr>
              <w:jc w:val="center"/>
            </w:pPr>
            <w:r>
              <w:rPr>
                <w:rFonts w:ascii="Times New Roman" w:hAnsi="Times New Roman" w:eastAsia="Times New Roman" w:cs="Times New Roman"/>
              </w:rPr>
              <w:t>年度主要任务</w:t>
            </w:r>
          </w:p>
        </w:tc>
        <w:tc>
          <w:tcPr>
            <w:tcW w:w="590" w:type="dxa"/>
            <w:vAlign w:val="center"/>
          </w:tcPr>
          <w:p>
            <w:pPr>
              <w:jc w:val="center"/>
            </w:pPr>
            <w:r>
              <w:rPr>
                <w:rFonts w:ascii="Times New Roman" w:hAnsi="Times New Roman" w:eastAsia="Times New Roman" w:cs="Times New Roman"/>
              </w:rPr>
              <w:t>重点工作任务名称</w:t>
            </w:r>
          </w:p>
        </w:tc>
        <w:tc>
          <w:tcPr>
            <w:tcW w:w="1246" w:type="dxa"/>
            <w:gridSpan w:val="2"/>
            <w:vAlign w:val="center"/>
          </w:tcPr>
          <w:p>
            <w:pPr>
              <w:jc w:val="center"/>
            </w:pPr>
            <w:r>
              <w:rPr>
                <w:rFonts w:ascii="Times New Roman" w:hAnsi="Times New Roman" w:eastAsia="Times New Roman" w:cs="Times New Roman"/>
              </w:rPr>
              <w:t>重点工作任务完成情况</w:t>
            </w:r>
          </w:p>
        </w:tc>
        <w:tc>
          <w:tcPr>
            <w:tcW w:w="791" w:type="dxa"/>
            <w:vAlign w:val="center"/>
          </w:tcPr>
          <w:p>
            <w:pPr>
              <w:jc w:val="center"/>
            </w:pPr>
            <w:r>
              <w:rPr>
                <w:rFonts w:ascii="Times New Roman" w:hAnsi="Times New Roman" w:eastAsia="Times New Roman" w:cs="Times New Roman"/>
              </w:rPr>
              <w:t xml:space="preserve">拟对应安排的重点项目  </w:t>
            </w:r>
          </w:p>
        </w:tc>
        <w:tc>
          <w:tcPr>
            <w:tcW w:w="1152" w:type="dxa"/>
            <w:vAlign w:val="center"/>
          </w:tcPr>
          <w:p>
            <w:pPr>
              <w:jc w:val="center"/>
            </w:pPr>
            <w:r>
              <w:rPr>
                <w:rFonts w:ascii="Times New Roman" w:hAnsi="Times New Roman" w:eastAsia="Times New Roman" w:cs="Times New Roman"/>
              </w:rPr>
              <w:t>项目完成情况</w:t>
            </w:r>
          </w:p>
        </w:tc>
        <w:tc>
          <w:tcPr>
            <w:tcW w:w="603" w:type="dxa"/>
            <w:vAlign w:val="center"/>
          </w:tcPr>
          <w:p>
            <w:pPr>
              <w:jc w:val="center"/>
            </w:pPr>
            <w:r>
              <w:rPr>
                <w:rFonts w:ascii="Times New Roman" w:hAnsi="Times New Roman" w:eastAsia="Times New Roman" w:cs="Times New Roman"/>
              </w:rPr>
              <w:t>预算数</w:t>
            </w:r>
            <w:r>
              <w:br w:type="textWrapping"/>
            </w:r>
            <w:r>
              <w:rPr>
                <w:rFonts w:ascii="Times New Roman" w:hAnsi="Times New Roman" w:eastAsia="Times New Roman" w:cs="Times New Roman"/>
              </w:rPr>
              <w:t>（万元）</w:t>
            </w:r>
          </w:p>
        </w:tc>
        <w:tc>
          <w:tcPr>
            <w:tcW w:w="1045" w:type="dxa"/>
            <w:vAlign w:val="center"/>
          </w:tcPr>
          <w:p>
            <w:pPr>
              <w:jc w:val="center"/>
            </w:pPr>
            <w:r>
              <w:rPr>
                <w:rFonts w:ascii="Times New Roman" w:hAnsi="Times New Roman" w:eastAsia="Times New Roman" w:cs="Times New Roman"/>
              </w:rPr>
              <w:t>其中：财政拨款</w:t>
            </w:r>
          </w:p>
        </w:tc>
        <w:tc>
          <w:tcPr>
            <w:tcW w:w="951" w:type="dxa"/>
            <w:vAlign w:val="center"/>
          </w:tcPr>
          <w:p>
            <w:pPr>
              <w:jc w:val="center"/>
            </w:pPr>
            <w:r>
              <w:rPr>
                <w:rFonts w:ascii="Times New Roman" w:hAnsi="Times New Roman" w:eastAsia="Times New Roman" w:cs="Times New Roman"/>
              </w:rPr>
              <w:t>执行数</w:t>
            </w:r>
            <w:r>
              <w:br w:type="textWrapping"/>
            </w:r>
            <w:r>
              <w:rPr>
                <w:rFonts w:ascii="Times New Roman" w:hAnsi="Times New Roman" w:eastAsia="Times New Roman" w:cs="Times New Roman"/>
              </w:rPr>
              <w:t>（万元）</w:t>
            </w:r>
          </w:p>
        </w:tc>
        <w:tc>
          <w:tcPr>
            <w:tcW w:w="2001" w:type="dxa"/>
            <w:vAlign w:val="center"/>
          </w:tcPr>
          <w:p>
            <w:pPr>
              <w:jc w:val="center"/>
            </w:pPr>
            <w:r>
              <w:rPr>
                <w:rFonts w:ascii="Times New Roman" w:hAnsi="Times New Roman" w:eastAsia="Times New Roman" w:cs="Times New Roman"/>
              </w:rPr>
              <w:t>其中：财政拨款</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140" w:hRule="atLeast"/>
        </w:trPr>
        <w:tc>
          <w:tcPr>
            <w:tcW w:w="562" w:type="dxa"/>
            <w:vMerge w:val="continue"/>
            <w:vAlign w:val="center"/>
          </w:tcPr>
          <w:p>
            <w:pPr>
              <w:jc w:val="left"/>
            </w:pPr>
          </w:p>
        </w:tc>
        <w:tc>
          <w:tcPr>
            <w:tcW w:w="590" w:type="dxa"/>
            <w:vAlign w:val="center"/>
          </w:tcPr>
          <w:p>
            <w:pPr>
              <w:textAlignment w:val="center"/>
              <w:rPr>
                <w:rFonts w:eastAsia="仿宋_GB2312" w:cs="Times New Roman"/>
                <w:color w:val="000000"/>
                <w:sz w:val="18"/>
                <w:szCs w:val="18"/>
              </w:rPr>
            </w:pPr>
            <w:r>
              <w:rPr>
                <w:rFonts w:hint="eastAsia" w:eastAsia="仿宋_GB2312" w:cs="Times New Roman"/>
                <w:color w:val="000000"/>
                <w:sz w:val="18"/>
                <w:szCs w:val="18"/>
              </w:rPr>
              <w:t>办案问责</w:t>
            </w:r>
          </w:p>
        </w:tc>
        <w:tc>
          <w:tcPr>
            <w:tcW w:w="1246" w:type="dxa"/>
            <w:gridSpan w:val="2"/>
            <w:vAlign w:val="center"/>
          </w:tcPr>
          <w:p>
            <w:pPr>
              <w:textAlignment w:val="center"/>
              <w:rPr>
                <w:rFonts w:eastAsia="仿宋_GB2312" w:cs="Times New Roman"/>
                <w:color w:val="000000"/>
                <w:sz w:val="18"/>
                <w:szCs w:val="18"/>
              </w:rPr>
            </w:pPr>
            <w:r>
              <w:rPr>
                <w:rFonts w:hint="eastAsia" w:eastAsia="仿宋_GB2312" w:cs="Times New Roman"/>
                <w:color w:val="000000"/>
                <w:sz w:val="18"/>
                <w:szCs w:val="18"/>
              </w:rPr>
              <w:t>持续正风肃纪，高压惩治腐败，扎实推进政治生态建设，为全县的经济社会发展提供坚强的纪律保障</w:t>
            </w:r>
          </w:p>
        </w:tc>
        <w:tc>
          <w:tcPr>
            <w:tcW w:w="791" w:type="dxa"/>
            <w:vAlign w:val="center"/>
          </w:tcPr>
          <w:p>
            <w:pPr>
              <w:textAlignment w:val="center"/>
              <w:rPr>
                <w:rFonts w:eastAsia="仿宋_GB2312" w:cs="Times New Roman"/>
                <w:color w:val="000000"/>
                <w:sz w:val="18"/>
                <w:szCs w:val="18"/>
              </w:rPr>
            </w:pPr>
            <w:r>
              <w:rPr>
                <w:rStyle w:val="19"/>
                <w:rFonts w:hint="eastAsia" w:ascii="Times New Roman" w:cs="Times New Roman"/>
              </w:rPr>
              <w:t>纪律审查项目</w:t>
            </w:r>
          </w:p>
        </w:tc>
        <w:tc>
          <w:tcPr>
            <w:tcW w:w="1152" w:type="dxa"/>
            <w:vAlign w:val="center"/>
          </w:tcPr>
          <w:p>
            <w:pPr>
              <w:rPr>
                <w:rFonts w:eastAsia="仿宋_GB2312" w:cs="Times New Roman"/>
                <w:color w:val="000000"/>
                <w:sz w:val="18"/>
                <w:szCs w:val="18"/>
              </w:rPr>
            </w:pPr>
            <w:r>
              <w:rPr>
                <w:rFonts w:hint="eastAsia" w:eastAsia="仿宋_GB2312" w:cs="Times New Roman"/>
                <w:color w:val="000000"/>
                <w:sz w:val="18"/>
                <w:szCs w:val="18"/>
              </w:rPr>
              <w:t>2019年共立结案143件，纪律处分143人（其中科级16人），移送司法机关1件，第一种形态处置215人。实现了持续正风肃纪，高压惩治腐败，扎实推进政治生态建设，为全县的经济社会发展提供坚强的纪律保障</w:t>
            </w:r>
          </w:p>
        </w:tc>
        <w:tc>
          <w:tcPr>
            <w:tcW w:w="603" w:type="dxa"/>
            <w:vAlign w:val="center"/>
          </w:tcPr>
          <w:p>
            <w:pPr>
              <w:jc w:val="center"/>
              <w:rPr>
                <w:rFonts w:eastAsia="仿宋_GB2312" w:cs="Times New Roman"/>
                <w:color w:val="000000"/>
                <w:sz w:val="18"/>
                <w:szCs w:val="18"/>
              </w:rPr>
            </w:pPr>
            <w:r>
              <w:rPr>
                <w:rFonts w:hint="eastAsia" w:eastAsia="仿宋_GB2312" w:cs="Times New Roman"/>
                <w:color w:val="000000"/>
                <w:sz w:val="18"/>
                <w:szCs w:val="18"/>
              </w:rPr>
              <w:t>340</w:t>
            </w:r>
          </w:p>
        </w:tc>
        <w:tc>
          <w:tcPr>
            <w:tcW w:w="1045" w:type="dxa"/>
            <w:vAlign w:val="center"/>
          </w:tcPr>
          <w:p>
            <w:pPr>
              <w:jc w:val="center"/>
              <w:rPr>
                <w:rFonts w:eastAsia="仿宋_GB2312" w:cs="Times New Roman"/>
                <w:color w:val="000000"/>
                <w:sz w:val="18"/>
                <w:szCs w:val="18"/>
              </w:rPr>
            </w:pPr>
            <w:r>
              <w:rPr>
                <w:rFonts w:hint="eastAsia" w:eastAsia="仿宋_GB2312" w:cs="Times New Roman"/>
                <w:color w:val="000000"/>
                <w:sz w:val="18"/>
                <w:szCs w:val="18"/>
              </w:rPr>
              <w:t>340</w:t>
            </w:r>
          </w:p>
        </w:tc>
        <w:tc>
          <w:tcPr>
            <w:tcW w:w="951" w:type="dxa"/>
            <w:vAlign w:val="center"/>
          </w:tcPr>
          <w:p>
            <w:pPr>
              <w:jc w:val="center"/>
              <w:rPr>
                <w:rFonts w:eastAsia="仿宋_GB2312" w:cs="Times New Roman"/>
                <w:color w:val="000000"/>
                <w:sz w:val="18"/>
                <w:szCs w:val="18"/>
              </w:rPr>
            </w:pPr>
            <w:r>
              <w:rPr>
                <w:rFonts w:hint="eastAsia" w:eastAsia="仿宋_GB2312" w:cs="Times New Roman"/>
                <w:color w:val="000000"/>
                <w:sz w:val="18"/>
                <w:szCs w:val="18"/>
              </w:rPr>
              <w:t>328.33</w:t>
            </w:r>
          </w:p>
        </w:tc>
        <w:tc>
          <w:tcPr>
            <w:tcW w:w="2001" w:type="dxa"/>
            <w:vAlign w:val="center"/>
          </w:tcPr>
          <w:p>
            <w:pPr>
              <w:jc w:val="center"/>
              <w:rPr>
                <w:rFonts w:eastAsia="仿宋_GB2312" w:cs="Times New Roman"/>
                <w:color w:val="000000"/>
                <w:sz w:val="18"/>
                <w:szCs w:val="18"/>
              </w:rPr>
            </w:pPr>
            <w:r>
              <w:rPr>
                <w:rFonts w:hint="eastAsia" w:eastAsia="仿宋_GB2312" w:cs="Times New Roman"/>
                <w:color w:val="000000"/>
                <w:sz w:val="18"/>
                <w:szCs w:val="18"/>
              </w:rPr>
              <w:t>328.33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90" w:hRule="atLeast"/>
        </w:trPr>
        <w:tc>
          <w:tcPr>
            <w:tcW w:w="562" w:type="dxa"/>
            <w:vMerge w:val="continue"/>
            <w:vAlign w:val="center"/>
          </w:tcPr>
          <w:p>
            <w:pPr>
              <w:jc w:val="left"/>
            </w:pPr>
          </w:p>
        </w:tc>
        <w:tc>
          <w:tcPr>
            <w:tcW w:w="3779" w:type="dxa"/>
            <w:gridSpan w:val="5"/>
            <w:vAlign w:val="center"/>
          </w:tcPr>
          <w:p>
            <w:pPr>
              <w:jc w:val="center"/>
            </w:pPr>
            <w:r>
              <w:rPr>
                <w:rFonts w:ascii="Times New Roman" w:hAnsi="Times New Roman" w:eastAsia="Times New Roman" w:cs="Times New Roman"/>
              </w:rPr>
              <w:t>金额合计</w:t>
            </w:r>
          </w:p>
        </w:tc>
        <w:tc>
          <w:tcPr>
            <w:tcW w:w="603" w:type="dxa"/>
            <w:vAlign w:val="center"/>
          </w:tcPr>
          <w:p>
            <w:pPr>
              <w:jc w:val="center"/>
            </w:pPr>
            <w:r>
              <w:rPr>
                <w:rFonts w:hint="eastAsia"/>
              </w:rPr>
              <w:t>340</w:t>
            </w:r>
          </w:p>
        </w:tc>
        <w:tc>
          <w:tcPr>
            <w:tcW w:w="1045" w:type="dxa"/>
            <w:vAlign w:val="center"/>
          </w:tcPr>
          <w:p>
            <w:pPr>
              <w:jc w:val="center"/>
            </w:pPr>
            <w:r>
              <w:rPr>
                <w:rFonts w:hint="eastAsia"/>
              </w:rPr>
              <w:t>340</w:t>
            </w:r>
          </w:p>
        </w:tc>
        <w:tc>
          <w:tcPr>
            <w:tcW w:w="951" w:type="dxa"/>
            <w:vAlign w:val="center"/>
          </w:tcPr>
          <w:p>
            <w:pPr>
              <w:jc w:val="center"/>
            </w:pPr>
            <w:r>
              <w:rPr>
                <w:rFonts w:hint="eastAsia"/>
              </w:rPr>
              <w:t>328.33</w:t>
            </w:r>
          </w:p>
        </w:tc>
        <w:tc>
          <w:tcPr>
            <w:tcW w:w="2001" w:type="dxa"/>
            <w:vAlign w:val="center"/>
          </w:tcPr>
          <w:p>
            <w:pPr>
              <w:jc w:val="center"/>
            </w:pPr>
            <w:r>
              <w:rPr>
                <w:rFonts w:hint="eastAsia"/>
              </w:rPr>
              <w:t>328.33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25" w:hRule="atLeast"/>
        </w:trPr>
        <w:tc>
          <w:tcPr>
            <w:tcW w:w="562" w:type="dxa"/>
            <w:vAlign w:val="center"/>
          </w:tcPr>
          <w:p>
            <w:pPr>
              <w:jc w:val="center"/>
            </w:pPr>
            <w:r>
              <w:rPr>
                <w:rFonts w:ascii="Times New Roman" w:hAnsi="Times New Roman" w:eastAsia="Times New Roman" w:cs="Times New Roman"/>
                <w:color w:val="000000"/>
                <w:sz w:val="18"/>
              </w:rPr>
              <w:t>一级指标</w:t>
            </w:r>
          </w:p>
        </w:tc>
        <w:tc>
          <w:tcPr>
            <w:tcW w:w="978" w:type="dxa"/>
            <w:gridSpan w:val="2"/>
            <w:vAlign w:val="center"/>
          </w:tcPr>
          <w:p>
            <w:pPr>
              <w:jc w:val="center"/>
            </w:pPr>
            <w:r>
              <w:rPr>
                <w:rFonts w:ascii="Times New Roman" w:hAnsi="Times New Roman" w:eastAsia="Times New Roman" w:cs="Times New Roman"/>
                <w:color w:val="000000"/>
                <w:sz w:val="18"/>
              </w:rPr>
              <w:t>二级指标</w:t>
            </w:r>
          </w:p>
        </w:tc>
        <w:tc>
          <w:tcPr>
            <w:tcW w:w="1649" w:type="dxa"/>
            <w:gridSpan w:val="2"/>
            <w:vAlign w:val="center"/>
          </w:tcPr>
          <w:p>
            <w:pPr>
              <w:jc w:val="center"/>
            </w:pPr>
            <w:r>
              <w:rPr>
                <w:rFonts w:ascii="Times New Roman" w:hAnsi="Times New Roman" w:eastAsia="Times New Roman" w:cs="Times New Roman"/>
              </w:rPr>
              <w:t>三级指标</w:t>
            </w:r>
          </w:p>
        </w:tc>
        <w:tc>
          <w:tcPr>
            <w:tcW w:w="1152" w:type="dxa"/>
            <w:vAlign w:val="center"/>
          </w:tcPr>
          <w:p>
            <w:pPr>
              <w:jc w:val="center"/>
            </w:pPr>
            <w:r>
              <w:rPr>
                <w:rFonts w:ascii="Times New Roman" w:hAnsi="Times New Roman" w:eastAsia="Times New Roman" w:cs="Times New Roman"/>
                <w:color w:val="000000"/>
                <w:sz w:val="18"/>
              </w:rPr>
              <w:t>目标值</w:t>
            </w:r>
          </w:p>
        </w:tc>
        <w:tc>
          <w:tcPr>
            <w:tcW w:w="1648" w:type="dxa"/>
            <w:gridSpan w:val="2"/>
            <w:vAlign w:val="center"/>
          </w:tcPr>
          <w:p>
            <w:pPr>
              <w:jc w:val="center"/>
            </w:pPr>
            <w:r>
              <w:rPr>
                <w:rFonts w:ascii="Times New Roman" w:hAnsi="Times New Roman" w:eastAsia="Times New Roman" w:cs="Times New Roman"/>
                <w:color w:val="000000"/>
                <w:sz w:val="18"/>
              </w:rPr>
              <w:t>自评实际值</w:t>
            </w:r>
          </w:p>
        </w:tc>
        <w:tc>
          <w:tcPr>
            <w:tcW w:w="951" w:type="dxa"/>
            <w:vAlign w:val="center"/>
          </w:tcPr>
          <w:p>
            <w:pPr>
              <w:jc w:val="center"/>
            </w:pPr>
            <w:r>
              <w:rPr>
                <w:rFonts w:ascii="Times New Roman" w:hAnsi="Times New Roman" w:eastAsia="Times New Roman" w:cs="Times New Roman"/>
                <w:color w:val="000000"/>
                <w:sz w:val="18"/>
              </w:rPr>
              <w:t>权重</w:t>
            </w:r>
          </w:p>
        </w:tc>
        <w:tc>
          <w:tcPr>
            <w:tcW w:w="2001" w:type="dxa"/>
            <w:vAlign w:val="center"/>
          </w:tcPr>
          <w:p>
            <w:pPr>
              <w:jc w:val="center"/>
            </w:pPr>
            <w:r>
              <w:rPr>
                <w:rFonts w:ascii="Times New Roman" w:hAnsi="Times New Roman" w:eastAsia="Times New Roman" w:cs="Times New Roman"/>
              </w:rPr>
              <w:t>自评得分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restart"/>
            <w:vAlign w:val="center"/>
          </w:tcPr>
          <w:p>
            <w:pPr>
              <w:jc w:val="center"/>
            </w:pPr>
            <w:r>
              <w:rPr>
                <w:rFonts w:ascii="Times New Roman" w:hAnsi="Times New Roman" w:eastAsia="Times New Roman" w:cs="Times New Roman"/>
                <w:color w:val="000000"/>
                <w:sz w:val="18"/>
              </w:rPr>
              <w:t>部门管理（40分）</w:t>
            </w:r>
          </w:p>
        </w:tc>
        <w:tc>
          <w:tcPr>
            <w:tcW w:w="978" w:type="dxa"/>
            <w:gridSpan w:val="2"/>
            <w:vMerge w:val="restart"/>
            <w:vAlign w:val="center"/>
          </w:tcPr>
          <w:p>
            <w:pPr>
              <w:jc w:val="center"/>
            </w:pPr>
            <w:r>
              <w:rPr>
                <w:rFonts w:ascii="Times New Roman" w:hAnsi="Times New Roman" w:eastAsia="Times New Roman" w:cs="Times New Roman"/>
                <w:color w:val="000000"/>
              </w:rPr>
              <w:t>资金</w:t>
            </w:r>
            <w:r>
              <w:br w:type="textWrapping"/>
            </w:r>
            <w:r>
              <w:rPr>
                <w:rFonts w:ascii="Times New Roman" w:hAnsi="Times New Roman" w:eastAsia="Times New Roman" w:cs="Times New Roman"/>
                <w:color w:val="000000"/>
              </w:rPr>
              <w:t>投入</w:t>
            </w:r>
          </w:p>
        </w:tc>
        <w:tc>
          <w:tcPr>
            <w:tcW w:w="1649" w:type="dxa"/>
            <w:gridSpan w:val="2"/>
            <w:vAlign w:val="center"/>
          </w:tcPr>
          <w:p>
            <w:pPr>
              <w:jc w:val="center"/>
            </w:pPr>
            <w:r>
              <w:rPr>
                <w:rFonts w:ascii="Times New Roman" w:hAnsi="Times New Roman" w:eastAsia="Times New Roman" w:cs="Times New Roman"/>
              </w:rPr>
              <w:t xml:space="preserve">预算完成率 </w:t>
            </w:r>
          </w:p>
        </w:tc>
        <w:tc>
          <w:tcPr>
            <w:tcW w:w="1152" w:type="dxa"/>
            <w:vAlign w:val="center"/>
          </w:tcPr>
          <w:p>
            <w:pPr>
              <w:jc w:val="center"/>
            </w:pPr>
            <w:r>
              <w:rPr>
                <w:rFonts w:ascii="Times New Roman" w:hAnsi="Times New Roman" w:eastAsia="Times New Roman" w:cs="Times New Roman"/>
                <w:color w:val="000000"/>
              </w:rPr>
              <w:t>≥95%</w:t>
            </w:r>
          </w:p>
        </w:tc>
        <w:tc>
          <w:tcPr>
            <w:tcW w:w="1648" w:type="dxa"/>
            <w:gridSpan w:val="2"/>
            <w:vAlign w:val="center"/>
          </w:tcPr>
          <w:p>
            <w:pPr>
              <w:jc w:val="center"/>
            </w:pPr>
            <w:r>
              <w:rPr>
                <w:rFonts w:hint="eastAsia"/>
              </w:rPr>
              <w:t>100%</w:t>
            </w:r>
          </w:p>
        </w:tc>
        <w:tc>
          <w:tcPr>
            <w:tcW w:w="951" w:type="dxa"/>
            <w:vAlign w:val="center"/>
          </w:tcPr>
          <w:p>
            <w:pPr>
              <w:jc w:val="center"/>
            </w:pPr>
            <w:r>
              <w:rPr>
                <w:rFonts w:ascii="Times New Roman" w:hAnsi="Times New Roman" w:eastAsia="Times New Roman" w:cs="Times New Roman"/>
                <w:color w:val="000000"/>
              </w:rPr>
              <w:t>4</w:t>
            </w:r>
          </w:p>
        </w:tc>
        <w:tc>
          <w:tcPr>
            <w:tcW w:w="2001" w:type="dxa"/>
            <w:vAlign w:val="center"/>
          </w:tcPr>
          <w:p>
            <w:pPr>
              <w:jc w:val="center"/>
            </w:pPr>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pPr>
              <w:jc w:val="left"/>
            </w:pPr>
          </w:p>
        </w:tc>
        <w:tc>
          <w:tcPr>
            <w:tcW w:w="978" w:type="dxa"/>
            <w:gridSpan w:val="2"/>
            <w:vMerge w:val="continue"/>
            <w:vAlign w:val="center"/>
          </w:tcPr>
          <w:p>
            <w:pPr>
              <w:jc w:val="left"/>
            </w:pPr>
          </w:p>
        </w:tc>
        <w:tc>
          <w:tcPr>
            <w:tcW w:w="1649" w:type="dxa"/>
            <w:gridSpan w:val="2"/>
            <w:vAlign w:val="center"/>
          </w:tcPr>
          <w:p>
            <w:pPr>
              <w:jc w:val="center"/>
            </w:pPr>
            <w:r>
              <w:rPr>
                <w:rFonts w:ascii="Times New Roman" w:hAnsi="Times New Roman" w:eastAsia="Times New Roman" w:cs="Times New Roman"/>
              </w:rPr>
              <w:t>预算调整率</w:t>
            </w:r>
          </w:p>
        </w:tc>
        <w:tc>
          <w:tcPr>
            <w:tcW w:w="1152" w:type="dxa"/>
            <w:vAlign w:val="center"/>
          </w:tcPr>
          <w:p>
            <w:pPr>
              <w:jc w:val="center"/>
            </w:pPr>
            <w:r>
              <w:rPr>
                <w:rFonts w:ascii="Times New Roman" w:hAnsi="Times New Roman" w:eastAsia="Times New Roman" w:cs="Times New Roman"/>
                <w:color w:val="000000"/>
              </w:rPr>
              <w:t>0</w:t>
            </w:r>
          </w:p>
        </w:tc>
        <w:tc>
          <w:tcPr>
            <w:tcW w:w="1648" w:type="dxa"/>
            <w:gridSpan w:val="2"/>
            <w:vAlign w:val="center"/>
          </w:tcPr>
          <w:p>
            <w:pPr>
              <w:jc w:val="center"/>
            </w:pPr>
            <w:r>
              <w:rPr>
                <w:rFonts w:hint="eastAsia"/>
              </w:rPr>
              <w:t>8.36%</w:t>
            </w:r>
          </w:p>
        </w:tc>
        <w:tc>
          <w:tcPr>
            <w:tcW w:w="951" w:type="dxa"/>
            <w:vAlign w:val="center"/>
          </w:tcPr>
          <w:p>
            <w:pPr>
              <w:jc w:val="center"/>
            </w:pPr>
            <w:r>
              <w:rPr>
                <w:rFonts w:ascii="Times New Roman" w:hAnsi="Times New Roman" w:eastAsia="Times New Roman" w:cs="Times New Roman"/>
                <w:color w:val="000000"/>
              </w:rPr>
              <w:t>4</w:t>
            </w:r>
          </w:p>
        </w:tc>
        <w:tc>
          <w:tcPr>
            <w:tcW w:w="2001" w:type="dxa"/>
            <w:vAlign w:val="center"/>
          </w:tcPr>
          <w:p>
            <w:pPr>
              <w:jc w:val="center"/>
            </w:pPr>
            <w:r>
              <w:rPr>
                <w:rFonts w:hint="eastAsia"/>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90" w:hRule="atLeast"/>
        </w:trPr>
        <w:tc>
          <w:tcPr>
            <w:tcW w:w="562" w:type="dxa"/>
            <w:vMerge w:val="continue"/>
            <w:vAlign w:val="center"/>
          </w:tcPr>
          <w:p>
            <w:pPr>
              <w:jc w:val="left"/>
            </w:pPr>
          </w:p>
        </w:tc>
        <w:tc>
          <w:tcPr>
            <w:tcW w:w="978" w:type="dxa"/>
            <w:gridSpan w:val="2"/>
            <w:vMerge w:val="continue"/>
            <w:vAlign w:val="center"/>
          </w:tcPr>
          <w:p>
            <w:pPr>
              <w:jc w:val="left"/>
            </w:pPr>
          </w:p>
        </w:tc>
        <w:tc>
          <w:tcPr>
            <w:tcW w:w="1649" w:type="dxa"/>
            <w:gridSpan w:val="2"/>
            <w:vAlign w:val="center"/>
          </w:tcPr>
          <w:p>
            <w:pPr>
              <w:jc w:val="center"/>
            </w:pPr>
            <w:r>
              <w:rPr>
                <w:rFonts w:ascii="Times New Roman" w:hAnsi="Times New Roman" w:eastAsia="Times New Roman" w:cs="Times New Roman"/>
              </w:rPr>
              <w:t>支出进度率</w:t>
            </w:r>
          </w:p>
        </w:tc>
        <w:tc>
          <w:tcPr>
            <w:tcW w:w="1152" w:type="dxa"/>
            <w:vAlign w:val="center"/>
          </w:tcPr>
          <w:p>
            <w:pPr>
              <w:jc w:val="center"/>
            </w:pPr>
            <w:r>
              <w:rPr>
                <w:rFonts w:ascii="Times New Roman" w:hAnsi="Times New Roman" w:eastAsia="Times New Roman" w:cs="Times New Roman"/>
                <w:color w:val="000000"/>
              </w:rPr>
              <w:t>≥100%</w:t>
            </w:r>
          </w:p>
        </w:tc>
        <w:tc>
          <w:tcPr>
            <w:tcW w:w="1648" w:type="dxa"/>
            <w:gridSpan w:val="2"/>
            <w:vAlign w:val="center"/>
          </w:tcPr>
          <w:p>
            <w:pPr>
              <w:jc w:val="center"/>
            </w:pPr>
            <w:r>
              <w:rPr>
                <w:rFonts w:hint="eastAsia"/>
              </w:rPr>
              <w:t>96.08%</w:t>
            </w:r>
          </w:p>
        </w:tc>
        <w:tc>
          <w:tcPr>
            <w:tcW w:w="951" w:type="dxa"/>
            <w:vAlign w:val="center"/>
          </w:tcPr>
          <w:p>
            <w:pPr>
              <w:jc w:val="center"/>
            </w:pPr>
            <w:r>
              <w:rPr>
                <w:rFonts w:ascii="Times New Roman" w:hAnsi="Times New Roman" w:eastAsia="Times New Roman" w:cs="Times New Roman"/>
                <w:color w:val="000000"/>
              </w:rPr>
              <w:t>4</w:t>
            </w:r>
          </w:p>
        </w:tc>
        <w:tc>
          <w:tcPr>
            <w:tcW w:w="2001" w:type="dxa"/>
            <w:vAlign w:val="center"/>
          </w:tcPr>
          <w:p>
            <w:pPr>
              <w:jc w:val="center"/>
            </w:pPr>
            <w:r>
              <w:rPr>
                <w:rFonts w:hint="eastAsia"/>
              </w:rPr>
              <w:t>3.608</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70" w:hRule="atLeast"/>
        </w:trPr>
        <w:tc>
          <w:tcPr>
            <w:tcW w:w="562" w:type="dxa"/>
            <w:vMerge w:val="continue"/>
            <w:vAlign w:val="center"/>
          </w:tcPr>
          <w:p>
            <w:pPr>
              <w:jc w:val="left"/>
            </w:pPr>
          </w:p>
        </w:tc>
        <w:tc>
          <w:tcPr>
            <w:tcW w:w="978" w:type="dxa"/>
            <w:gridSpan w:val="2"/>
            <w:vMerge w:val="continue"/>
            <w:vAlign w:val="center"/>
          </w:tcPr>
          <w:p>
            <w:pPr>
              <w:jc w:val="left"/>
            </w:pPr>
          </w:p>
        </w:tc>
        <w:tc>
          <w:tcPr>
            <w:tcW w:w="1649" w:type="dxa"/>
            <w:gridSpan w:val="2"/>
            <w:vAlign w:val="center"/>
          </w:tcPr>
          <w:p>
            <w:pPr>
              <w:jc w:val="center"/>
            </w:pPr>
            <w:r>
              <w:rPr>
                <w:rFonts w:ascii="Times New Roman" w:hAnsi="Times New Roman" w:eastAsia="Times New Roman" w:cs="Times New Roman"/>
              </w:rPr>
              <w:t>“三公经费”变动率</w:t>
            </w:r>
          </w:p>
        </w:tc>
        <w:tc>
          <w:tcPr>
            <w:tcW w:w="1152" w:type="dxa"/>
            <w:vAlign w:val="center"/>
          </w:tcPr>
          <w:p>
            <w:pPr>
              <w:jc w:val="center"/>
            </w:pPr>
            <w:r>
              <w:rPr>
                <w:rFonts w:ascii="Times New Roman" w:hAnsi="Times New Roman" w:eastAsia="Times New Roman" w:cs="Times New Roman"/>
                <w:color w:val="000000"/>
              </w:rPr>
              <w:t>≤0　</w:t>
            </w:r>
          </w:p>
        </w:tc>
        <w:tc>
          <w:tcPr>
            <w:tcW w:w="1648" w:type="dxa"/>
            <w:gridSpan w:val="2"/>
            <w:vAlign w:val="center"/>
          </w:tcPr>
          <w:p>
            <w:pPr>
              <w:jc w:val="center"/>
            </w:pPr>
            <w:r>
              <w:rPr>
                <w:rFonts w:hint="eastAsia"/>
              </w:rPr>
              <w:t>1326.58%</w:t>
            </w:r>
          </w:p>
        </w:tc>
        <w:tc>
          <w:tcPr>
            <w:tcW w:w="951" w:type="dxa"/>
            <w:vAlign w:val="center"/>
          </w:tcPr>
          <w:p>
            <w:pPr>
              <w:jc w:val="center"/>
            </w:pPr>
            <w:r>
              <w:rPr>
                <w:rFonts w:ascii="Times New Roman" w:hAnsi="Times New Roman" w:eastAsia="Times New Roman" w:cs="Times New Roman"/>
                <w:color w:val="000000"/>
              </w:rPr>
              <w:t>4</w:t>
            </w:r>
          </w:p>
        </w:tc>
        <w:tc>
          <w:tcPr>
            <w:tcW w:w="2001" w:type="dxa"/>
            <w:vAlign w:val="center"/>
          </w:tcPr>
          <w:p>
            <w:pPr>
              <w:jc w:val="center"/>
            </w:pPr>
            <w:r>
              <w:rPr>
                <w:rFonts w:hint="eastAsia"/>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60" w:hRule="atLeast"/>
        </w:trPr>
        <w:tc>
          <w:tcPr>
            <w:tcW w:w="562" w:type="dxa"/>
            <w:vMerge w:val="continue"/>
            <w:vAlign w:val="center"/>
          </w:tcPr>
          <w:p>
            <w:pPr>
              <w:jc w:val="left"/>
            </w:pPr>
          </w:p>
        </w:tc>
        <w:tc>
          <w:tcPr>
            <w:tcW w:w="978" w:type="dxa"/>
            <w:gridSpan w:val="2"/>
            <w:vMerge w:val="continue"/>
            <w:vAlign w:val="center"/>
          </w:tcPr>
          <w:p>
            <w:pPr>
              <w:jc w:val="left"/>
            </w:pPr>
          </w:p>
        </w:tc>
        <w:tc>
          <w:tcPr>
            <w:tcW w:w="1649" w:type="dxa"/>
            <w:gridSpan w:val="2"/>
            <w:vAlign w:val="center"/>
          </w:tcPr>
          <w:p>
            <w:pPr>
              <w:jc w:val="center"/>
            </w:pPr>
            <w:r>
              <w:rPr>
                <w:rFonts w:ascii="Times New Roman" w:hAnsi="Times New Roman" w:eastAsia="Times New Roman" w:cs="Times New Roman"/>
              </w:rPr>
              <w:t>结转结余变动率</w:t>
            </w:r>
          </w:p>
        </w:tc>
        <w:tc>
          <w:tcPr>
            <w:tcW w:w="1152" w:type="dxa"/>
            <w:vAlign w:val="center"/>
          </w:tcPr>
          <w:p>
            <w:pPr>
              <w:jc w:val="center"/>
            </w:pPr>
            <w:r>
              <w:rPr>
                <w:rFonts w:ascii="Times New Roman" w:hAnsi="Times New Roman" w:eastAsia="Times New Roman" w:cs="Times New Roman"/>
                <w:color w:val="000000"/>
              </w:rPr>
              <w:t>≤0　</w:t>
            </w:r>
          </w:p>
        </w:tc>
        <w:tc>
          <w:tcPr>
            <w:tcW w:w="1648" w:type="dxa"/>
            <w:gridSpan w:val="2"/>
            <w:vAlign w:val="center"/>
          </w:tcPr>
          <w:p>
            <w:pPr>
              <w:jc w:val="center"/>
            </w:pPr>
            <w:r>
              <w:rPr>
                <w:rFonts w:hint="eastAsia"/>
              </w:rPr>
              <w:t>－100%</w:t>
            </w:r>
          </w:p>
        </w:tc>
        <w:tc>
          <w:tcPr>
            <w:tcW w:w="951" w:type="dxa"/>
            <w:vAlign w:val="center"/>
          </w:tcPr>
          <w:p>
            <w:pPr>
              <w:jc w:val="center"/>
            </w:pPr>
            <w:r>
              <w:rPr>
                <w:rFonts w:ascii="Times New Roman" w:hAnsi="Times New Roman" w:eastAsia="Times New Roman" w:cs="Times New Roman"/>
                <w:color w:val="000000"/>
              </w:rPr>
              <w:t>4</w:t>
            </w:r>
          </w:p>
        </w:tc>
        <w:tc>
          <w:tcPr>
            <w:tcW w:w="2001" w:type="dxa"/>
            <w:vAlign w:val="center"/>
          </w:tcPr>
          <w:p>
            <w:pPr>
              <w:jc w:val="center"/>
            </w:pPr>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color w:val="000000"/>
              </w:rPr>
              <w:t>财务管理</w:t>
            </w:r>
          </w:p>
        </w:tc>
        <w:tc>
          <w:tcPr>
            <w:tcW w:w="1649" w:type="dxa"/>
            <w:gridSpan w:val="2"/>
            <w:vAlign w:val="center"/>
          </w:tcPr>
          <w:p>
            <w:pPr>
              <w:jc w:val="center"/>
            </w:pPr>
            <w:r>
              <w:rPr>
                <w:rFonts w:ascii="Times New Roman" w:hAnsi="Times New Roman" w:eastAsia="Times New Roman" w:cs="Times New Roman"/>
              </w:rPr>
              <w:t>问题资金占比</w:t>
            </w:r>
          </w:p>
        </w:tc>
        <w:tc>
          <w:tcPr>
            <w:tcW w:w="1152" w:type="dxa"/>
            <w:vAlign w:val="center"/>
          </w:tcPr>
          <w:p>
            <w:pPr>
              <w:jc w:val="center"/>
            </w:pPr>
            <w:r>
              <w:rPr>
                <w:rFonts w:ascii="Times New Roman" w:hAnsi="Times New Roman" w:eastAsia="Times New Roman" w:cs="Times New Roman"/>
                <w:color w:val="000000"/>
              </w:rPr>
              <w:t>0</w:t>
            </w:r>
          </w:p>
        </w:tc>
        <w:tc>
          <w:tcPr>
            <w:tcW w:w="1648" w:type="dxa"/>
            <w:gridSpan w:val="2"/>
            <w:vAlign w:val="center"/>
          </w:tcPr>
          <w:p>
            <w:pPr>
              <w:jc w:val="center"/>
            </w:pPr>
            <w:r>
              <w:rPr>
                <w:rFonts w:hint="eastAsia"/>
              </w:rPr>
              <w:t>0</w:t>
            </w:r>
          </w:p>
        </w:tc>
        <w:tc>
          <w:tcPr>
            <w:tcW w:w="951" w:type="dxa"/>
            <w:vAlign w:val="center"/>
          </w:tcPr>
          <w:p>
            <w:pPr>
              <w:jc w:val="center"/>
            </w:pPr>
            <w:r>
              <w:rPr>
                <w:rFonts w:ascii="Times New Roman" w:hAnsi="Times New Roman" w:eastAsia="Times New Roman" w:cs="Times New Roman"/>
                <w:color w:val="000000"/>
              </w:rPr>
              <w:t>4</w:t>
            </w:r>
          </w:p>
        </w:tc>
        <w:tc>
          <w:tcPr>
            <w:tcW w:w="2001" w:type="dxa"/>
            <w:vAlign w:val="center"/>
          </w:tcPr>
          <w:p>
            <w:pPr>
              <w:jc w:val="center"/>
            </w:pPr>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color w:val="000000"/>
              </w:rPr>
              <w:t>采购管理</w:t>
            </w:r>
          </w:p>
        </w:tc>
        <w:tc>
          <w:tcPr>
            <w:tcW w:w="1649" w:type="dxa"/>
            <w:gridSpan w:val="2"/>
            <w:vAlign w:val="center"/>
          </w:tcPr>
          <w:p>
            <w:pPr>
              <w:jc w:val="center"/>
            </w:pPr>
            <w:r>
              <w:rPr>
                <w:rFonts w:ascii="Times New Roman" w:hAnsi="Times New Roman" w:eastAsia="Times New Roman" w:cs="Times New Roman"/>
              </w:rPr>
              <w:t>政府采购执行率</w:t>
            </w:r>
          </w:p>
        </w:tc>
        <w:tc>
          <w:tcPr>
            <w:tcW w:w="1152" w:type="dxa"/>
            <w:vAlign w:val="center"/>
          </w:tcPr>
          <w:p>
            <w:pPr>
              <w:jc w:val="center"/>
            </w:pPr>
            <w:r>
              <w:rPr>
                <w:rFonts w:ascii="Times New Roman" w:hAnsi="Times New Roman" w:eastAsia="Times New Roman" w:cs="Times New Roman"/>
                <w:color w:val="000000"/>
              </w:rPr>
              <w:t>≥95%</w:t>
            </w:r>
          </w:p>
        </w:tc>
        <w:tc>
          <w:tcPr>
            <w:tcW w:w="1648" w:type="dxa"/>
            <w:gridSpan w:val="2"/>
            <w:vAlign w:val="center"/>
          </w:tcPr>
          <w:p>
            <w:pPr>
              <w:jc w:val="center"/>
            </w:pPr>
            <w:r>
              <w:rPr>
                <w:rFonts w:hint="eastAsia"/>
              </w:rPr>
              <w:t>95.73%</w:t>
            </w:r>
          </w:p>
        </w:tc>
        <w:tc>
          <w:tcPr>
            <w:tcW w:w="951" w:type="dxa"/>
            <w:vAlign w:val="center"/>
          </w:tcPr>
          <w:p>
            <w:pPr>
              <w:jc w:val="center"/>
            </w:pPr>
            <w:r>
              <w:rPr>
                <w:rFonts w:ascii="Times New Roman" w:hAnsi="Times New Roman" w:eastAsia="Times New Roman" w:cs="Times New Roman"/>
                <w:color w:val="000000"/>
              </w:rPr>
              <w:t>3</w:t>
            </w:r>
          </w:p>
        </w:tc>
        <w:tc>
          <w:tcPr>
            <w:tcW w:w="2001" w:type="dxa"/>
            <w:vAlign w:val="center"/>
          </w:tcPr>
          <w:p>
            <w:pPr>
              <w:jc w:val="center"/>
            </w:pPr>
            <w:r>
              <w:rPr>
                <w:rFonts w:hint="eastAsia"/>
              </w:rPr>
              <w:t>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20"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color w:val="000000"/>
              </w:rPr>
              <w:t>资产管理</w:t>
            </w:r>
          </w:p>
        </w:tc>
        <w:tc>
          <w:tcPr>
            <w:tcW w:w="1649" w:type="dxa"/>
            <w:gridSpan w:val="2"/>
            <w:vAlign w:val="center"/>
          </w:tcPr>
          <w:p>
            <w:pPr>
              <w:jc w:val="center"/>
            </w:pPr>
            <w:r>
              <w:rPr>
                <w:rFonts w:ascii="Times New Roman" w:hAnsi="Times New Roman" w:eastAsia="Times New Roman" w:cs="Times New Roman"/>
              </w:rPr>
              <w:t>资产管理规范性</w:t>
            </w:r>
          </w:p>
        </w:tc>
        <w:tc>
          <w:tcPr>
            <w:tcW w:w="1152" w:type="dxa"/>
            <w:vAlign w:val="center"/>
          </w:tcPr>
          <w:p>
            <w:pPr>
              <w:jc w:val="center"/>
            </w:pPr>
            <w:r>
              <w:rPr>
                <w:rFonts w:ascii="Times New Roman" w:hAnsi="Times New Roman" w:eastAsia="Times New Roman" w:cs="Times New Roman"/>
                <w:color w:val="000000"/>
              </w:rPr>
              <w:t>规范　</w:t>
            </w:r>
          </w:p>
        </w:tc>
        <w:tc>
          <w:tcPr>
            <w:tcW w:w="1648" w:type="dxa"/>
            <w:gridSpan w:val="2"/>
            <w:vAlign w:val="center"/>
          </w:tcPr>
          <w:p>
            <w:pPr>
              <w:jc w:val="center"/>
            </w:pPr>
            <w:r>
              <w:rPr>
                <w:rFonts w:hint="eastAsia" w:eastAsia="仿宋_GB2312" w:cs="Times New Roman"/>
                <w:color w:val="000000"/>
                <w:sz w:val="18"/>
                <w:szCs w:val="18"/>
              </w:rPr>
              <w:t>已按要建章立制，并及时上报月报及年报，已按要求公务用车平</w:t>
            </w:r>
          </w:p>
        </w:tc>
        <w:tc>
          <w:tcPr>
            <w:tcW w:w="951" w:type="dxa"/>
            <w:vAlign w:val="center"/>
          </w:tcPr>
          <w:p>
            <w:pPr>
              <w:jc w:val="center"/>
            </w:pPr>
            <w:r>
              <w:rPr>
                <w:rFonts w:ascii="Times New Roman" w:hAnsi="Times New Roman" w:eastAsia="Times New Roman" w:cs="Times New Roman"/>
                <w:color w:val="000000"/>
              </w:rPr>
              <w:t>4</w:t>
            </w:r>
          </w:p>
        </w:tc>
        <w:tc>
          <w:tcPr>
            <w:tcW w:w="2001" w:type="dxa"/>
            <w:vAlign w:val="center"/>
          </w:tcPr>
          <w:p>
            <w:pPr>
              <w:jc w:val="center"/>
            </w:pPr>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65"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color w:val="000000"/>
              </w:rPr>
              <w:t>人员管理</w:t>
            </w:r>
          </w:p>
        </w:tc>
        <w:tc>
          <w:tcPr>
            <w:tcW w:w="1649" w:type="dxa"/>
            <w:gridSpan w:val="2"/>
            <w:vAlign w:val="center"/>
          </w:tcPr>
          <w:p>
            <w:pPr>
              <w:jc w:val="center"/>
            </w:pPr>
            <w:r>
              <w:rPr>
                <w:rFonts w:ascii="Times New Roman" w:hAnsi="Times New Roman" w:eastAsia="Times New Roman" w:cs="Times New Roman"/>
              </w:rPr>
              <w:t>在职人员控制率</w:t>
            </w:r>
          </w:p>
        </w:tc>
        <w:tc>
          <w:tcPr>
            <w:tcW w:w="1152" w:type="dxa"/>
            <w:vAlign w:val="center"/>
          </w:tcPr>
          <w:p>
            <w:pPr>
              <w:jc w:val="center"/>
            </w:pPr>
            <w:r>
              <w:rPr>
                <w:rFonts w:ascii="Times New Roman" w:hAnsi="Times New Roman" w:eastAsia="Times New Roman" w:cs="Times New Roman"/>
                <w:color w:val="000000"/>
              </w:rPr>
              <w:t>≤100%</w:t>
            </w:r>
          </w:p>
        </w:tc>
        <w:tc>
          <w:tcPr>
            <w:tcW w:w="1648" w:type="dxa"/>
            <w:gridSpan w:val="2"/>
            <w:vAlign w:val="center"/>
          </w:tcPr>
          <w:p>
            <w:pPr>
              <w:jc w:val="center"/>
            </w:pPr>
            <w:r>
              <w:rPr>
                <w:rFonts w:hint="eastAsia"/>
              </w:rPr>
              <w:t>84.31%</w:t>
            </w:r>
          </w:p>
        </w:tc>
        <w:tc>
          <w:tcPr>
            <w:tcW w:w="951" w:type="dxa"/>
            <w:vAlign w:val="center"/>
          </w:tcPr>
          <w:p>
            <w:pPr>
              <w:jc w:val="center"/>
            </w:pPr>
            <w:r>
              <w:rPr>
                <w:rFonts w:ascii="Times New Roman" w:hAnsi="Times New Roman" w:eastAsia="Times New Roman" w:cs="Times New Roman"/>
                <w:color w:val="000000"/>
              </w:rPr>
              <w:t>1</w:t>
            </w:r>
          </w:p>
        </w:tc>
        <w:tc>
          <w:tcPr>
            <w:tcW w:w="2001" w:type="dxa"/>
            <w:vAlign w:val="center"/>
          </w:tcPr>
          <w:p>
            <w:pPr>
              <w:jc w:val="center"/>
            </w:pPr>
            <w:r>
              <w:rPr>
                <w:rFonts w:hint="eastAsia"/>
              </w:rPr>
              <w:t>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pPr>
              <w:jc w:val="left"/>
            </w:pPr>
          </w:p>
        </w:tc>
        <w:tc>
          <w:tcPr>
            <w:tcW w:w="978" w:type="dxa"/>
            <w:gridSpan w:val="2"/>
            <w:vMerge w:val="restart"/>
            <w:vAlign w:val="center"/>
          </w:tcPr>
          <w:p>
            <w:pPr>
              <w:jc w:val="center"/>
            </w:pPr>
            <w:r>
              <w:rPr>
                <w:rFonts w:ascii="Times New Roman" w:hAnsi="Times New Roman" w:eastAsia="Times New Roman" w:cs="Times New Roman"/>
                <w:color w:val="000000"/>
              </w:rPr>
              <w:t>信息管理</w:t>
            </w:r>
          </w:p>
        </w:tc>
        <w:tc>
          <w:tcPr>
            <w:tcW w:w="1649" w:type="dxa"/>
            <w:gridSpan w:val="2"/>
            <w:vAlign w:val="center"/>
          </w:tcPr>
          <w:p>
            <w:pPr>
              <w:jc w:val="center"/>
            </w:pPr>
            <w:r>
              <w:rPr>
                <w:rFonts w:ascii="Times New Roman" w:hAnsi="Times New Roman" w:eastAsia="Times New Roman" w:cs="Times New Roman"/>
              </w:rPr>
              <w:t>预决算信息公开性</w:t>
            </w:r>
          </w:p>
        </w:tc>
        <w:tc>
          <w:tcPr>
            <w:tcW w:w="1152" w:type="dxa"/>
            <w:vAlign w:val="center"/>
          </w:tcPr>
          <w:p>
            <w:pPr>
              <w:jc w:val="center"/>
            </w:pPr>
            <w:r>
              <w:rPr>
                <w:rFonts w:ascii="Times New Roman" w:hAnsi="Times New Roman" w:eastAsia="Times New Roman" w:cs="Times New Roman"/>
                <w:color w:val="000000"/>
              </w:rPr>
              <w:t>按规定公开</w:t>
            </w:r>
          </w:p>
        </w:tc>
        <w:tc>
          <w:tcPr>
            <w:tcW w:w="1648" w:type="dxa"/>
            <w:gridSpan w:val="2"/>
            <w:vAlign w:val="center"/>
          </w:tcPr>
          <w:p>
            <w:pPr>
              <w:jc w:val="center"/>
            </w:pPr>
            <w:r>
              <w:rPr>
                <w:rFonts w:hint="eastAsia" w:eastAsia="仿宋_GB2312" w:cs="Times New Roman"/>
                <w:color w:val="000000"/>
                <w:sz w:val="18"/>
                <w:szCs w:val="18"/>
              </w:rPr>
              <w:t>已按规定内容和时限公开预决算信息</w:t>
            </w:r>
          </w:p>
        </w:tc>
        <w:tc>
          <w:tcPr>
            <w:tcW w:w="951" w:type="dxa"/>
            <w:vAlign w:val="center"/>
          </w:tcPr>
          <w:p>
            <w:pPr>
              <w:jc w:val="center"/>
            </w:pPr>
            <w:r>
              <w:rPr>
                <w:rFonts w:ascii="Times New Roman" w:hAnsi="Times New Roman" w:eastAsia="Times New Roman" w:cs="Times New Roman"/>
                <w:color w:val="000000"/>
              </w:rPr>
              <w:t>2</w:t>
            </w:r>
          </w:p>
        </w:tc>
        <w:tc>
          <w:tcPr>
            <w:tcW w:w="2001" w:type="dxa"/>
            <w:vAlign w:val="center"/>
          </w:tcPr>
          <w:p>
            <w:pPr>
              <w:jc w:val="center"/>
            </w:pPr>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35" w:hRule="atLeast"/>
        </w:trPr>
        <w:tc>
          <w:tcPr>
            <w:tcW w:w="562" w:type="dxa"/>
            <w:vMerge w:val="continue"/>
            <w:vAlign w:val="center"/>
          </w:tcPr>
          <w:p>
            <w:pPr>
              <w:jc w:val="left"/>
            </w:pPr>
          </w:p>
        </w:tc>
        <w:tc>
          <w:tcPr>
            <w:tcW w:w="978" w:type="dxa"/>
            <w:gridSpan w:val="2"/>
            <w:vMerge w:val="continue"/>
            <w:vAlign w:val="center"/>
          </w:tcPr>
          <w:p>
            <w:pPr>
              <w:jc w:val="left"/>
            </w:pPr>
          </w:p>
        </w:tc>
        <w:tc>
          <w:tcPr>
            <w:tcW w:w="1649" w:type="dxa"/>
            <w:gridSpan w:val="2"/>
            <w:vAlign w:val="center"/>
          </w:tcPr>
          <w:p>
            <w:pPr>
              <w:jc w:val="center"/>
            </w:pPr>
            <w:r>
              <w:rPr>
                <w:rFonts w:ascii="Times New Roman" w:hAnsi="Times New Roman" w:eastAsia="Times New Roman" w:cs="Times New Roman"/>
              </w:rPr>
              <w:t>绩效信息公开性</w:t>
            </w:r>
          </w:p>
        </w:tc>
        <w:tc>
          <w:tcPr>
            <w:tcW w:w="1152" w:type="dxa"/>
            <w:vAlign w:val="center"/>
          </w:tcPr>
          <w:p>
            <w:pPr>
              <w:jc w:val="center"/>
            </w:pPr>
            <w:r>
              <w:rPr>
                <w:rFonts w:ascii="Times New Roman" w:hAnsi="Times New Roman" w:eastAsia="Times New Roman" w:cs="Times New Roman"/>
                <w:color w:val="000000"/>
              </w:rPr>
              <w:t>按规定公开</w:t>
            </w:r>
          </w:p>
        </w:tc>
        <w:tc>
          <w:tcPr>
            <w:tcW w:w="1648" w:type="dxa"/>
            <w:gridSpan w:val="2"/>
            <w:vAlign w:val="center"/>
          </w:tcPr>
          <w:p>
            <w:pPr>
              <w:jc w:val="center"/>
            </w:pPr>
            <w:r>
              <w:rPr>
                <w:rFonts w:hint="eastAsia"/>
              </w:rPr>
              <w:t>我单位无专项项目</w:t>
            </w:r>
          </w:p>
        </w:tc>
        <w:tc>
          <w:tcPr>
            <w:tcW w:w="951" w:type="dxa"/>
            <w:vAlign w:val="center"/>
          </w:tcPr>
          <w:p>
            <w:pPr>
              <w:jc w:val="center"/>
            </w:pPr>
            <w:r>
              <w:rPr>
                <w:rFonts w:ascii="Times New Roman" w:hAnsi="Times New Roman" w:eastAsia="Times New Roman" w:cs="Times New Roman"/>
                <w:color w:val="000000"/>
              </w:rPr>
              <w:t>2</w:t>
            </w:r>
          </w:p>
        </w:tc>
        <w:tc>
          <w:tcPr>
            <w:tcW w:w="2001" w:type="dxa"/>
            <w:vAlign w:val="center"/>
          </w:tcPr>
          <w:p>
            <w:pPr>
              <w:jc w:val="center"/>
            </w:pPr>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90" w:hRule="atLeast"/>
        </w:trPr>
        <w:tc>
          <w:tcPr>
            <w:tcW w:w="562" w:type="dxa"/>
            <w:vMerge w:val="continue"/>
            <w:vAlign w:val="center"/>
          </w:tcPr>
          <w:p>
            <w:pPr>
              <w:jc w:val="left"/>
            </w:pPr>
          </w:p>
        </w:tc>
        <w:tc>
          <w:tcPr>
            <w:tcW w:w="978" w:type="dxa"/>
            <w:gridSpan w:val="2"/>
            <w:vMerge w:val="restart"/>
            <w:vAlign w:val="center"/>
          </w:tcPr>
          <w:p>
            <w:pPr>
              <w:jc w:val="center"/>
            </w:pPr>
            <w:r>
              <w:rPr>
                <w:rFonts w:ascii="Times New Roman" w:hAnsi="Times New Roman" w:eastAsia="Times New Roman" w:cs="Times New Roman"/>
                <w:color w:val="000000"/>
              </w:rPr>
              <w:t>绩效管理</w:t>
            </w:r>
          </w:p>
        </w:tc>
        <w:tc>
          <w:tcPr>
            <w:tcW w:w="1649" w:type="dxa"/>
            <w:gridSpan w:val="2"/>
            <w:vAlign w:val="center"/>
          </w:tcPr>
          <w:p>
            <w:pPr>
              <w:jc w:val="center"/>
            </w:pPr>
            <w:r>
              <w:rPr>
                <w:rFonts w:ascii="Times New Roman" w:hAnsi="Times New Roman" w:eastAsia="Times New Roman" w:cs="Times New Roman"/>
              </w:rPr>
              <w:t>绩效目标审核通过率</w:t>
            </w:r>
          </w:p>
        </w:tc>
        <w:tc>
          <w:tcPr>
            <w:tcW w:w="1152" w:type="dxa"/>
            <w:vAlign w:val="center"/>
          </w:tcPr>
          <w:p>
            <w:pPr>
              <w:jc w:val="center"/>
            </w:pPr>
            <w:r>
              <w:rPr>
                <w:rFonts w:ascii="Times New Roman" w:hAnsi="Times New Roman" w:eastAsia="Times New Roman" w:cs="Times New Roman"/>
                <w:color w:val="000000"/>
              </w:rPr>
              <w:t>100%</w:t>
            </w:r>
          </w:p>
        </w:tc>
        <w:tc>
          <w:tcPr>
            <w:tcW w:w="1648" w:type="dxa"/>
            <w:gridSpan w:val="2"/>
            <w:vAlign w:val="center"/>
          </w:tcPr>
          <w:p>
            <w:pPr>
              <w:jc w:val="center"/>
            </w:pPr>
            <w:r>
              <w:rPr>
                <w:rFonts w:hint="eastAsia"/>
              </w:rPr>
              <w:t>80%</w:t>
            </w:r>
          </w:p>
        </w:tc>
        <w:tc>
          <w:tcPr>
            <w:tcW w:w="951" w:type="dxa"/>
            <w:vAlign w:val="center"/>
          </w:tcPr>
          <w:p>
            <w:pPr>
              <w:jc w:val="center"/>
            </w:pPr>
            <w:r>
              <w:rPr>
                <w:rFonts w:ascii="Times New Roman" w:hAnsi="Times New Roman" w:eastAsia="Times New Roman" w:cs="Times New Roman"/>
                <w:color w:val="000000"/>
              </w:rPr>
              <w:t>2</w:t>
            </w:r>
          </w:p>
        </w:tc>
        <w:tc>
          <w:tcPr>
            <w:tcW w:w="2001" w:type="dxa"/>
            <w:vAlign w:val="center"/>
          </w:tcPr>
          <w:p>
            <w:pPr>
              <w:jc w:val="center"/>
            </w:pPr>
            <w:r>
              <w:rPr>
                <w:rFonts w:hint="eastAsia"/>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pPr>
              <w:jc w:val="left"/>
            </w:pPr>
          </w:p>
        </w:tc>
        <w:tc>
          <w:tcPr>
            <w:tcW w:w="978" w:type="dxa"/>
            <w:gridSpan w:val="2"/>
            <w:vMerge w:val="continue"/>
            <w:vAlign w:val="center"/>
          </w:tcPr>
          <w:p>
            <w:pPr>
              <w:jc w:val="left"/>
            </w:pPr>
          </w:p>
        </w:tc>
        <w:tc>
          <w:tcPr>
            <w:tcW w:w="1649" w:type="dxa"/>
            <w:gridSpan w:val="2"/>
            <w:vAlign w:val="center"/>
          </w:tcPr>
          <w:p>
            <w:pPr>
              <w:jc w:val="center"/>
            </w:pPr>
            <w:r>
              <w:rPr>
                <w:rFonts w:ascii="Times New Roman" w:hAnsi="Times New Roman" w:eastAsia="Times New Roman" w:cs="Times New Roman"/>
              </w:rPr>
              <w:t>绩效自评覆盖率</w:t>
            </w:r>
          </w:p>
        </w:tc>
        <w:tc>
          <w:tcPr>
            <w:tcW w:w="1152" w:type="dxa"/>
            <w:vAlign w:val="center"/>
          </w:tcPr>
          <w:p>
            <w:pPr>
              <w:jc w:val="center"/>
            </w:pPr>
            <w:r>
              <w:rPr>
                <w:rFonts w:ascii="Times New Roman" w:hAnsi="Times New Roman" w:eastAsia="Times New Roman" w:cs="Times New Roman"/>
                <w:color w:val="000000"/>
              </w:rPr>
              <w:t>100%</w:t>
            </w:r>
          </w:p>
        </w:tc>
        <w:tc>
          <w:tcPr>
            <w:tcW w:w="1648" w:type="dxa"/>
            <w:gridSpan w:val="2"/>
            <w:vAlign w:val="center"/>
          </w:tcPr>
          <w:p>
            <w:pPr>
              <w:jc w:val="center"/>
            </w:pPr>
            <w:r>
              <w:rPr>
                <w:rFonts w:hint="eastAsia"/>
              </w:rPr>
              <w:t>100%</w:t>
            </w:r>
          </w:p>
        </w:tc>
        <w:tc>
          <w:tcPr>
            <w:tcW w:w="951" w:type="dxa"/>
            <w:vAlign w:val="center"/>
          </w:tcPr>
          <w:p>
            <w:pPr>
              <w:jc w:val="center"/>
            </w:pPr>
            <w:r>
              <w:rPr>
                <w:rFonts w:ascii="Times New Roman" w:hAnsi="Times New Roman" w:eastAsia="Times New Roman" w:cs="Times New Roman"/>
                <w:color w:val="000000"/>
              </w:rPr>
              <w:t>2</w:t>
            </w:r>
          </w:p>
        </w:tc>
        <w:tc>
          <w:tcPr>
            <w:tcW w:w="2001" w:type="dxa"/>
            <w:vAlign w:val="center"/>
          </w:tcPr>
          <w:p>
            <w:pPr>
              <w:jc w:val="center"/>
            </w:pPr>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restart"/>
            <w:vAlign w:val="center"/>
          </w:tcPr>
          <w:p>
            <w:pPr>
              <w:jc w:val="center"/>
            </w:pPr>
            <w:r>
              <w:rPr>
                <w:rFonts w:ascii="Times New Roman" w:hAnsi="Times New Roman" w:eastAsia="Times New Roman" w:cs="Times New Roman"/>
              </w:rPr>
              <w:t>部门产出（40分）</w:t>
            </w:r>
          </w:p>
        </w:tc>
        <w:tc>
          <w:tcPr>
            <w:tcW w:w="978" w:type="dxa"/>
            <w:gridSpan w:val="2"/>
            <w:vAlign w:val="center"/>
          </w:tcPr>
          <w:p>
            <w:pPr>
              <w:jc w:val="center"/>
            </w:pPr>
            <w:r>
              <w:rPr>
                <w:rFonts w:ascii="Times New Roman" w:hAnsi="Times New Roman" w:eastAsia="Times New Roman" w:cs="Times New Roman"/>
              </w:rPr>
              <w:t>数 量</w:t>
            </w:r>
          </w:p>
        </w:tc>
        <w:tc>
          <w:tcPr>
            <w:tcW w:w="1649" w:type="dxa"/>
            <w:gridSpan w:val="2"/>
            <w:vAlign w:val="center"/>
          </w:tcPr>
          <w:p>
            <w:pPr>
              <w:jc w:val="center"/>
            </w:pPr>
            <w:r>
              <w:rPr>
                <w:rFonts w:ascii="Times New Roman" w:hAnsi="Times New Roman" w:eastAsia="Times New Roman" w:cs="Times New Roman"/>
              </w:rPr>
              <w:t>重点工作实际完成率</w:t>
            </w:r>
          </w:p>
        </w:tc>
        <w:tc>
          <w:tcPr>
            <w:tcW w:w="1152" w:type="dxa"/>
            <w:vAlign w:val="center"/>
          </w:tcPr>
          <w:p>
            <w:pPr>
              <w:jc w:val="center"/>
            </w:pPr>
            <w:r>
              <w:rPr>
                <w:rFonts w:ascii="Times New Roman" w:hAnsi="Times New Roman" w:eastAsia="Times New Roman" w:cs="Times New Roman"/>
                <w:color w:val="000000"/>
              </w:rPr>
              <w:t>100%</w:t>
            </w:r>
          </w:p>
        </w:tc>
        <w:tc>
          <w:tcPr>
            <w:tcW w:w="1648" w:type="dxa"/>
            <w:gridSpan w:val="2"/>
            <w:vAlign w:val="center"/>
          </w:tcPr>
          <w:p>
            <w:pPr>
              <w:jc w:val="center"/>
            </w:pPr>
            <w:r>
              <w:rPr>
                <w:rFonts w:hint="eastAsia"/>
              </w:rPr>
              <w:t>170%</w:t>
            </w:r>
          </w:p>
        </w:tc>
        <w:tc>
          <w:tcPr>
            <w:tcW w:w="951" w:type="dxa"/>
            <w:vAlign w:val="center"/>
          </w:tcPr>
          <w:p>
            <w:pPr>
              <w:jc w:val="center"/>
            </w:pPr>
            <w:r>
              <w:rPr>
                <w:rFonts w:ascii="Times New Roman" w:hAnsi="Times New Roman" w:eastAsia="Times New Roman" w:cs="Times New Roman"/>
                <w:color w:val="000000"/>
              </w:rPr>
              <w:t>15</w:t>
            </w:r>
          </w:p>
        </w:tc>
        <w:tc>
          <w:tcPr>
            <w:tcW w:w="2001" w:type="dxa"/>
            <w:vAlign w:val="center"/>
          </w:tcPr>
          <w:p>
            <w:pPr>
              <w:jc w:val="center"/>
            </w:pPr>
            <w:r>
              <w:rPr>
                <w:rFonts w:hint="eastAsia"/>
              </w:rPr>
              <w:t>15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rPr>
              <w:t>质 量</w:t>
            </w:r>
          </w:p>
        </w:tc>
        <w:tc>
          <w:tcPr>
            <w:tcW w:w="1649" w:type="dxa"/>
            <w:gridSpan w:val="2"/>
            <w:vAlign w:val="center"/>
          </w:tcPr>
          <w:p>
            <w:pPr>
              <w:jc w:val="center"/>
            </w:pPr>
            <w:r>
              <w:rPr>
                <w:rFonts w:ascii="Times New Roman" w:hAnsi="Times New Roman" w:eastAsia="Times New Roman" w:cs="Times New Roman"/>
              </w:rPr>
              <w:t>重点工作质量达标率</w:t>
            </w:r>
          </w:p>
        </w:tc>
        <w:tc>
          <w:tcPr>
            <w:tcW w:w="1152" w:type="dxa"/>
            <w:vAlign w:val="center"/>
          </w:tcPr>
          <w:p>
            <w:pPr>
              <w:jc w:val="center"/>
            </w:pPr>
            <w:r>
              <w:rPr>
                <w:rFonts w:ascii="Times New Roman" w:hAnsi="Times New Roman" w:eastAsia="Times New Roman" w:cs="Times New Roman"/>
                <w:color w:val="000000"/>
              </w:rPr>
              <w:t>100%</w:t>
            </w:r>
          </w:p>
        </w:tc>
        <w:tc>
          <w:tcPr>
            <w:tcW w:w="1648" w:type="dxa"/>
            <w:gridSpan w:val="2"/>
            <w:vAlign w:val="center"/>
          </w:tcPr>
          <w:p>
            <w:pPr>
              <w:jc w:val="center"/>
            </w:pPr>
            <w:r>
              <w:rPr>
                <w:rFonts w:hint="eastAsia"/>
              </w:rPr>
              <w:t>100%</w:t>
            </w:r>
          </w:p>
        </w:tc>
        <w:tc>
          <w:tcPr>
            <w:tcW w:w="951" w:type="dxa"/>
            <w:vAlign w:val="center"/>
          </w:tcPr>
          <w:p>
            <w:pPr>
              <w:jc w:val="center"/>
            </w:pPr>
            <w:r>
              <w:rPr>
                <w:rFonts w:ascii="Times New Roman" w:hAnsi="Times New Roman" w:eastAsia="Times New Roman" w:cs="Times New Roman"/>
                <w:color w:val="000000"/>
              </w:rPr>
              <w:t>10</w:t>
            </w:r>
          </w:p>
        </w:tc>
        <w:tc>
          <w:tcPr>
            <w:tcW w:w="2001" w:type="dxa"/>
            <w:vAlign w:val="center"/>
          </w:tcPr>
          <w:p>
            <w:pPr>
              <w:jc w:val="center"/>
            </w:pPr>
            <w:r>
              <w:rPr>
                <w:rFonts w:hint="eastAsia"/>
              </w:rP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rPr>
              <w:t>时 效</w:t>
            </w:r>
          </w:p>
        </w:tc>
        <w:tc>
          <w:tcPr>
            <w:tcW w:w="1649" w:type="dxa"/>
            <w:gridSpan w:val="2"/>
            <w:vAlign w:val="center"/>
          </w:tcPr>
          <w:p>
            <w:pPr>
              <w:jc w:val="center"/>
            </w:pPr>
            <w:r>
              <w:rPr>
                <w:rFonts w:ascii="Times New Roman" w:hAnsi="Times New Roman" w:eastAsia="Times New Roman" w:cs="Times New Roman"/>
              </w:rPr>
              <w:t>重点工作完成及时率</w:t>
            </w:r>
          </w:p>
        </w:tc>
        <w:tc>
          <w:tcPr>
            <w:tcW w:w="1152" w:type="dxa"/>
            <w:vAlign w:val="center"/>
          </w:tcPr>
          <w:p>
            <w:pPr>
              <w:jc w:val="center"/>
            </w:pPr>
            <w:r>
              <w:rPr>
                <w:rFonts w:ascii="Times New Roman" w:hAnsi="Times New Roman" w:eastAsia="Times New Roman" w:cs="Times New Roman"/>
                <w:color w:val="000000"/>
              </w:rPr>
              <w:t>100%</w:t>
            </w:r>
          </w:p>
        </w:tc>
        <w:tc>
          <w:tcPr>
            <w:tcW w:w="1648" w:type="dxa"/>
            <w:gridSpan w:val="2"/>
            <w:vAlign w:val="center"/>
          </w:tcPr>
          <w:p>
            <w:pPr>
              <w:jc w:val="center"/>
            </w:pPr>
            <w:r>
              <w:rPr>
                <w:rFonts w:hint="eastAsia"/>
              </w:rPr>
              <w:t>170%</w:t>
            </w:r>
          </w:p>
        </w:tc>
        <w:tc>
          <w:tcPr>
            <w:tcW w:w="951" w:type="dxa"/>
            <w:vAlign w:val="center"/>
          </w:tcPr>
          <w:p>
            <w:pPr>
              <w:jc w:val="center"/>
            </w:pPr>
            <w:r>
              <w:rPr>
                <w:rFonts w:ascii="Times New Roman" w:hAnsi="Times New Roman" w:eastAsia="Times New Roman" w:cs="Times New Roman"/>
                <w:color w:val="000000"/>
              </w:rPr>
              <w:t>10</w:t>
            </w:r>
          </w:p>
        </w:tc>
        <w:tc>
          <w:tcPr>
            <w:tcW w:w="2001" w:type="dxa"/>
            <w:vAlign w:val="center"/>
          </w:tcPr>
          <w:p>
            <w:pPr>
              <w:jc w:val="center"/>
            </w:pPr>
            <w:r>
              <w:rPr>
                <w:rFonts w:hint="eastAsia"/>
              </w:rP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rPr>
              <w:t>成 本</w:t>
            </w:r>
          </w:p>
        </w:tc>
        <w:tc>
          <w:tcPr>
            <w:tcW w:w="1649" w:type="dxa"/>
            <w:gridSpan w:val="2"/>
            <w:vAlign w:val="center"/>
          </w:tcPr>
          <w:p>
            <w:pPr>
              <w:jc w:val="center"/>
            </w:pPr>
            <w:r>
              <w:rPr>
                <w:rFonts w:ascii="Times New Roman" w:hAnsi="Times New Roman" w:eastAsia="Times New Roman" w:cs="Times New Roman"/>
              </w:rPr>
              <w:t>一般性支出压减率</w:t>
            </w:r>
          </w:p>
        </w:tc>
        <w:tc>
          <w:tcPr>
            <w:tcW w:w="1152" w:type="dxa"/>
            <w:vAlign w:val="center"/>
          </w:tcPr>
          <w:p>
            <w:pPr>
              <w:jc w:val="center"/>
            </w:pPr>
            <w:r>
              <w:rPr>
                <w:rFonts w:ascii="Times New Roman" w:hAnsi="Times New Roman" w:eastAsia="Times New Roman" w:cs="Times New Roman"/>
                <w:color w:val="000000"/>
              </w:rPr>
              <w:t>&gt;0</w:t>
            </w:r>
          </w:p>
        </w:tc>
        <w:tc>
          <w:tcPr>
            <w:tcW w:w="1648" w:type="dxa"/>
            <w:gridSpan w:val="2"/>
            <w:vAlign w:val="center"/>
          </w:tcPr>
          <w:p>
            <w:pPr>
              <w:jc w:val="center"/>
            </w:pPr>
            <w:r>
              <w:rPr>
                <w:rFonts w:hint="eastAsia"/>
              </w:rPr>
              <w:t>－6.46%</w:t>
            </w:r>
          </w:p>
        </w:tc>
        <w:tc>
          <w:tcPr>
            <w:tcW w:w="951" w:type="dxa"/>
            <w:vAlign w:val="center"/>
          </w:tcPr>
          <w:p>
            <w:pPr>
              <w:jc w:val="center"/>
            </w:pPr>
            <w:r>
              <w:rPr>
                <w:rFonts w:ascii="Times New Roman" w:hAnsi="Times New Roman" w:eastAsia="Times New Roman" w:cs="Times New Roman"/>
                <w:color w:val="000000"/>
              </w:rPr>
              <w:t>5</w:t>
            </w:r>
          </w:p>
        </w:tc>
        <w:tc>
          <w:tcPr>
            <w:tcW w:w="2001" w:type="dxa"/>
            <w:vAlign w:val="center"/>
          </w:tcPr>
          <w:p>
            <w:pPr>
              <w:jc w:val="center"/>
            </w:pPr>
            <w:r>
              <w:rPr>
                <w:rFonts w:hint="eastAsia"/>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restart"/>
            <w:vAlign w:val="center"/>
          </w:tcPr>
          <w:p>
            <w:pPr>
              <w:jc w:val="center"/>
            </w:pPr>
            <w:r>
              <w:rPr>
                <w:rFonts w:ascii="Times New Roman" w:hAnsi="Times New Roman" w:eastAsia="Times New Roman" w:cs="Times New Roman"/>
              </w:rPr>
              <w:t>部门效果（20分）</w:t>
            </w:r>
          </w:p>
        </w:tc>
        <w:tc>
          <w:tcPr>
            <w:tcW w:w="978" w:type="dxa"/>
            <w:gridSpan w:val="2"/>
            <w:vAlign w:val="center"/>
          </w:tcPr>
          <w:p>
            <w:pPr>
              <w:jc w:val="center"/>
            </w:pPr>
            <w:r>
              <w:rPr>
                <w:rFonts w:ascii="Times New Roman" w:hAnsi="Times New Roman" w:eastAsia="Times New Roman" w:cs="Times New Roman"/>
                <w:color w:val="000000"/>
              </w:rPr>
              <w:t>经济效益</w:t>
            </w:r>
          </w:p>
        </w:tc>
        <w:tc>
          <w:tcPr>
            <w:tcW w:w="1649" w:type="dxa"/>
            <w:gridSpan w:val="2"/>
            <w:vAlign w:val="center"/>
          </w:tcPr>
          <w:p>
            <w:pPr>
              <w:jc w:val="center"/>
              <w:rPr>
                <w:rFonts w:eastAsia="仿宋_GB2312" w:cs="Times New Roman"/>
                <w:color w:val="000000"/>
                <w:sz w:val="18"/>
                <w:szCs w:val="18"/>
              </w:rPr>
            </w:pPr>
            <w:r>
              <w:rPr>
                <w:rFonts w:hint="eastAsia" w:eastAsia="仿宋_GB2312" w:cs="Times New Roman"/>
                <w:color w:val="000000"/>
                <w:sz w:val="18"/>
                <w:szCs w:val="18"/>
              </w:rPr>
              <w:t>挽回经济损失</w:t>
            </w:r>
          </w:p>
        </w:tc>
        <w:tc>
          <w:tcPr>
            <w:tcW w:w="1152" w:type="dxa"/>
            <w:vAlign w:val="center"/>
          </w:tcPr>
          <w:p>
            <w:pPr>
              <w:jc w:val="center"/>
              <w:rPr>
                <w:rFonts w:eastAsia="仿宋_GB2312" w:cs="Times New Roman"/>
                <w:color w:val="000000"/>
                <w:sz w:val="18"/>
                <w:szCs w:val="18"/>
              </w:rPr>
            </w:pPr>
            <w:r>
              <w:rPr>
                <w:rFonts w:hint="eastAsia" w:eastAsia="仿宋_GB2312" w:cs="Times New Roman"/>
                <w:color w:val="000000"/>
                <w:sz w:val="18"/>
                <w:szCs w:val="18"/>
              </w:rPr>
              <w:t>＞</w:t>
            </w:r>
            <w:r>
              <w:rPr>
                <w:rFonts w:eastAsia="仿宋_GB2312" w:cs="Times New Roman"/>
                <w:color w:val="000000"/>
                <w:sz w:val="18"/>
                <w:szCs w:val="18"/>
              </w:rPr>
              <w:t>0</w:t>
            </w:r>
          </w:p>
        </w:tc>
        <w:tc>
          <w:tcPr>
            <w:tcW w:w="1648" w:type="dxa"/>
            <w:gridSpan w:val="2"/>
            <w:vAlign w:val="center"/>
          </w:tcPr>
          <w:p>
            <w:pPr>
              <w:jc w:val="center"/>
              <w:rPr>
                <w:rFonts w:eastAsia="仿宋_GB2312" w:cs="Times New Roman"/>
                <w:color w:val="000000"/>
                <w:sz w:val="18"/>
                <w:szCs w:val="18"/>
              </w:rPr>
            </w:pPr>
            <w:r>
              <w:rPr>
                <w:rFonts w:hint="eastAsia" w:eastAsia="仿宋_GB2312" w:cs="Times New Roman"/>
                <w:color w:val="000000"/>
                <w:sz w:val="18"/>
                <w:szCs w:val="18"/>
              </w:rPr>
              <w:t>424.72万元</w:t>
            </w:r>
          </w:p>
        </w:tc>
        <w:tc>
          <w:tcPr>
            <w:tcW w:w="951" w:type="dxa"/>
            <w:vMerge w:val="restart"/>
            <w:vAlign w:val="center"/>
          </w:tcPr>
          <w:p>
            <w:pPr>
              <w:jc w:val="center"/>
            </w:pPr>
            <w:r>
              <w:rPr>
                <w:rFonts w:ascii="Times New Roman" w:hAnsi="Times New Roman" w:eastAsia="Times New Roman" w:cs="Times New Roman"/>
                <w:color w:val="000000"/>
              </w:rPr>
              <w:t>10</w:t>
            </w:r>
          </w:p>
        </w:tc>
        <w:tc>
          <w:tcPr>
            <w:tcW w:w="2001" w:type="dxa"/>
            <w:vAlign w:val="center"/>
          </w:tcPr>
          <w:p>
            <w:pPr>
              <w:jc w:val="center"/>
            </w:pPr>
            <w:r>
              <w:rPr>
                <w:rFonts w:hint="eastAsia"/>
              </w:rPr>
              <w:t>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00"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color w:val="000000"/>
              </w:rPr>
              <w:t>社会效益</w:t>
            </w:r>
          </w:p>
        </w:tc>
        <w:tc>
          <w:tcPr>
            <w:tcW w:w="1649" w:type="dxa"/>
            <w:gridSpan w:val="2"/>
            <w:vAlign w:val="center"/>
          </w:tcPr>
          <w:p>
            <w:pPr>
              <w:jc w:val="center"/>
              <w:rPr>
                <w:rFonts w:eastAsia="仿宋_GB2312" w:cs="Times New Roman"/>
                <w:color w:val="000000"/>
                <w:sz w:val="18"/>
                <w:szCs w:val="18"/>
              </w:rPr>
            </w:pPr>
            <w:r>
              <w:rPr>
                <w:rFonts w:hint="eastAsia" w:eastAsia="仿宋_GB2312" w:cs="Times New Roman"/>
                <w:color w:val="000000"/>
                <w:sz w:val="18"/>
                <w:szCs w:val="18"/>
              </w:rPr>
              <w:t>纠正问题个数</w:t>
            </w:r>
          </w:p>
        </w:tc>
        <w:tc>
          <w:tcPr>
            <w:tcW w:w="1152" w:type="dxa"/>
            <w:vAlign w:val="center"/>
          </w:tcPr>
          <w:p>
            <w:pPr>
              <w:jc w:val="center"/>
              <w:rPr>
                <w:rFonts w:eastAsia="仿宋_GB2312" w:cs="Times New Roman"/>
                <w:color w:val="000000"/>
                <w:sz w:val="18"/>
                <w:szCs w:val="18"/>
              </w:rPr>
            </w:pPr>
            <w:r>
              <w:rPr>
                <w:rFonts w:hint="eastAsia" w:eastAsia="仿宋_GB2312" w:cs="Times New Roman"/>
                <w:color w:val="000000"/>
                <w:sz w:val="18"/>
                <w:szCs w:val="18"/>
              </w:rPr>
              <w:t>＞200</w:t>
            </w:r>
          </w:p>
        </w:tc>
        <w:tc>
          <w:tcPr>
            <w:tcW w:w="1648" w:type="dxa"/>
            <w:gridSpan w:val="2"/>
            <w:vAlign w:val="center"/>
          </w:tcPr>
          <w:p>
            <w:pPr>
              <w:jc w:val="center"/>
              <w:rPr>
                <w:rFonts w:eastAsia="仿宋_GB2312" w:cs="Times New Roman"/>
                <w:color w:val="000000"/>
                <w:sz w:val="18"/>
                <w:szCs w:val="18"/>
              </w:rPr>
            </w:pPr>
            <w:r>
              <w:rPr>
                <w:rFonts w:hint="eastAsia" w:eastAsia="仿宋_GB2312" w:cs="Times New Roman"/>
                <w:color w:val="000000"/>
                <w:sz w:val="18"/>
                <w:szCs w:val="18"/>
              </w:rPr>
              <w:t>282个</w:t>
            </w:r>
          </w:p>
        </w:tc>
        <w:tc>
          <w:tcPr>
            <w:tcW w:w="951" w:type="dxa"/>
            <w:vMerge w:val="continue"/>
            <w:vAlign w:val="center"/>
          </w:tcPr>
          <w:p>
            <w:pPr>
              <w:jc w:val="left"/>
            </w:pPr>
          </w:p>
        </w:tc>
        <w:tc>
          <w:tcPr>
            <w:tcW w:w="2001" w:type="dxa"/>
            <w:vAlign w:val="center"/>
          </w:tcPr>
          <w:p>
            <w:pPr>
              <w:jc w:val="center"/>
            </w:pPr>
            <w:r>
              <w:rPr>
                <w:rFonts w:hint="eastAsia"/>
              </w:rPr>
              <w:t>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35" w:hRule="atLeast"/>
        </w:trPr>
        <w:tc>
          <w:tcPr>
            <w:tcW w:w="562" w:type="dxa"/>
            <w:vMerge w:val="continue"/>
            <w:vAlign w:val="center"/>
          </w:tcPr>
          <w:p>
            <w:pPr>
              <w:jc w:val="left"/>
            </w:pPr>
          </w:p>
        </w:tc>
        <w:tc>
          <w:tcPr>
            <w:tcW w:w="978" w:type="dxa"/>
            <w:gridSpan w:val="2"/>
            <w:vAlign w:val="center"/>
          </w:tcPr>
          <w:p>
            <w:pPr>
              <w:jc w:val="center"/>
            </w:pPr>
            <w:r>
              <w:rPr>
                <w:rFonts w:ascii="Times New Roman" w:hAnsi="Times New Roman" w:eastAsia="Times New Roman" w:cs="Times New Roman"/>
                <w:color w:val="000000"/>
                <w:sz w:val="18"/>
              </w:rPr>
              <w:t>满意度</w:t>
            </w:r>
          </w:p>
        </w:tc>
        <w:tc>
          <w:tcPr>
            <w:tcW w:w="1649" w:type="dxa"/>
            <w:gridSpan w:val="2"/>
            <w:vAlign w:val="center"/>
          </w:tcPr>
          <w:p>
            <w:pPr>
              <w:jc w:val="center"/>
              <w:rPr>
                <w:rFonts w:eastAsia="仿宋_GB2312" w:cs="Times New Roman"/>
                <w:color w:val="000000"/>
                <w:sz w:val="18"/>
                <w:szCs w:val="18"/>
              </w:rPr>
            </w:pPr>
            <w:r>
              <w:rPr>
                <w:rFonts w:hint="eastAsia" w:eastAsia="仿宋_GB2312" w:cs="Times New Roman"/>
                <w:color w:val="000000"/>
                <w:sz w:val="18"/>
                <w:szCs w:val="18"/>
              </w:rPr>
              <w:t>群众对纪检及巡察工作的满意度</w:t>
            </w:r>
          </w:p>
        </w:tc>
        <w:tc>
          <w:tcPr>
            <w:tcW w:w="1152" w:type="dxa"/>
            <w:vAlign w:val="center"/>
          </w:tcPr>
          <w:p>
            <w:pPr>
              <w:jc w:val="center"/>
              <w:textAlignment w:val="center"/>
              <w:rPr>
                <w:rFonts w:eastAsia="仿宋_GB2312" w:cs="Times New Roman"/>
                <w:color w:val="000000"/>
                <w:sz w:val="18"/>
                <w:szCs w:val="18"/>
              </w:rPr>
            </w:pPr>
            <w:r>
              <w:rPr>
                <w:rFonts w:eastAsia="仿宋_GB2312" w:cs="Times New Roman"/>
                <w:color w:val="000000"/>
                <w:sz w:val="18"/>
                <w:szCs w:val="18"/>
              </w:rPr>
              <w:t>≥90%</w:t>
            </w:r>
          </w:p>
        </w:tc>
        <w:tc>
          <w:tcPr>
            <w:tcW w:w="1648" w:type="dxa"/>
            <w:gridSpan w:val="2"/>
            <w:vAlign w:val="center"/>
          </w:tcPr>
          <w:p>
            <w:pPr>
              <w:jc w:val="center"/>
              <w:rPr>
                <w:rFonts w:eastAsia="仿宋_GB2312" w:cs="Times New Roman"/>
                <w:color w:val="000000"/>
                <w:sz w:val="18"/>
                <w:szCs w:val="18"/>
              </w:rPr>
            </w:pPr>
            <w:r>
              <w:rPr>
                <w:rFonts w:hint="eastAsia" w:eastAsia="仿宋_GB2312" w:cs="Times New Roman"/>
                <w:color w:val="000000"/>
                <w:sz w:val="18"/>
                <w:szCs w:val="18"/>
              </w:rPr>
              <w:t>98%</w:t>
            </w:r>
          </w:p>
        </w:tc>
        <w:tc>
          <w:tcPr>
            <w:tcW w:w="951" w:type="dxa"/>
            <w:vAlign w:val="center"/>
          </w:tcPr>
          <w:p>
            <w:pPr>
              <w:jc w:val="center"/>
            </w:pPr>
            <w:r>
              <w:rPr>
                <w:rFonts w:ascii="Times New Roman" w:hAnsi="Times New Roman" w:eastAsia="Times New Roman" w:cs="Times New Roman"/>
                <w:color w:val="000000"/>
              </w:rPr>
              <w:t>10</w:t>
            </w:r>
          </w:p>
        </w:tc>
        <w:tc>
          <w:tcPr>
            <w:tcW w:w="2001" w:type="dxa"/>
            <w:vAlign w:val="center"/>
          </w:tcPr>
          <w:p>
            <w:pPr>
              <w:jc w:val="center"/>
            </w:pPr>
            <w:r>
              <w:rPr>
                <w:rFonts w:hint="eastAsia"/>
              </w:rP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60" w:hRule="atLeast"/>
        </w:trPr>
        <w:tc>
          <w:tcPr>
            <w:tcW w:w="3189" w:type="dxa"/>
            <w:gridSpan w:val="5"/>
            <w:vAlign w:val="center"/>
          </w:tcPr>
          <w:p>
            <w:pPr>
              <w:jc w:val="center"/>
            </w:pPr>
            <w:r>
              <w:rPr>
                <w:rFonts w:ascii="Times New Roman" w:hAnsi="Times New Roman" w:eastAsia="Times New Roman" w:cs="Times New Roman"/>
              </w:rPr>
              <w:t>合　计</w:t>
            </w:r>
          </w:p>
        </w:tc>
        <w:tc>
          <w:tcPr>
            <w:tcW w:w="1152" w:type="dxa"/>
            <w:vAlign w:val="center"/>
          </w:tcPr>
          <w:p>
            <w:pPr>
              <w:jc w:val="center"/>
            </w:pPr>
            <w:r>
              <w:rPr>
                <w:rFonts w:ascii="Times New Roman" w:hAnsi="Times New Roman" w:eastAsia="Times New Roman" w:cs="Times New Roman"/>
                <w:color w:val="000000"/>
                <w:sz w:val="18"/>
              </w:rPr>
              <w:t>——</w:t>
            </w:r>
          </w:p>
        </w:tc>
        <w:tc>
          <w:tcPr>
            <w:tcW w:w="1648" w:type="dxa"/>
            <w:gridSpan w:val="2"/>
            <w:vAlign w:val="center"/>
          </w:tcPr>
          <w:p>
            <w:pPr>
              <w:jc w:val="center"/>
            </w:pPr>
            <w:r>
              <w:rPr>
                <w:rFonts w:ascii="Times New Roman" w:hAnsi="Times New Roman" w:eastAsia="Times New Roman" w:cs="Times New Roman"/>
                <w:color w:val="000000"/>
                <w:sz w:val="18"/>
              </w:rPr>
              <w:t>——</w:t>
            </w:r>
          </w:p>
        </w:tc>
        <w:tc>
          <w:tcPr>
            <w:tcW w:w="951" w:type="dxa"/>
            <w:vAlign w:val="center"/>
          </w:tcPr>
          <w:p>
            <w:pPr>
              <w:jc w:val="center"/>
            </w:pPr>
            <w:r>
              <w:rPr>
                <w:rFonts w:ascii="Times New Roman" w:hAnsi="Times New Roman" w:eastAsia="Times New Roman" w:cs="Times New Roman"/>
                <w:color w:val="000000"/>
              </w:rPr>
              <w:t>100</w:t>
            </w:r>
          </w:p>
        </w:tc>
        <w:tc>
          <w:tcPr>
            <w:tcW w:w="2001" w:type="dxa"/>
            <w:vAlign w:val="center"/>
          </w:tcPr>
          <w:p>
            <w:pPr>
              <w:jc w:val="center"/>
            </w:pPr>
            <w:r>
              <w:rPr>
                <w:rFonts w:hint="eastAsia"/>
              </w:rPr>
              <w:t>84.608</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20" w:hRule="atLeast"/>
        </w:trPr>
        <w:tc>
          <w:tcPr>
            <w:tcW w:w="3189" w:type="dxa"/>
            <w:gridSpan w:val="5"/>
            <w:vAlign w:val="center"/>
          </w:tcPr>
          <w:p>
            <w:pPr>
              <w:jc w:val="center"/>
            </w:pPr>
            <w:r>
              <w:rPr>
                <w:rFonts w:ascii="Times New Roman" w:hAnsi="Times New Roman" w:eastAsia="Times New Roman" w:cs="Times New Roman"/>
                <w:color w:val="000000"/>
                <w:sz w:val="20"/>
              </w:rPr>
              <w:t>评价结论：</w:t>
            </w:r>
          </w:p>
        </w:tc>
        <w:tc>
          <w:tcPr>
            <w:tcW w:w="5752" w:type="dxa"/>
            <w:gridSpan w:val="5"/>
            <w:vAlign w:val="bottom"/>
          </w:tcPr>
          <w:p>
            <w:pPr>
              <w:jc w:val="center"/>
            </w:pPr>
            <w:r>
              <w:rPr>
                <w:rFonts w:hint="eastAsia" w:eastAsia="仿宋_GB2312" w:cs="Times New Roman"/>
                <w:color w:val="000000"/>
                <w:sz w:val="18"/>
                <w:szCs w:val="18"/>
              </w:rPr>
              <w:t>分值等级良</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80" w:hRule="atLeast"/>
        </w:trPr>
        <w:tc>
          <w:tcPr>
            <w:tcW w:w="3189" w:type="dxa"/>
            <w:gridSpan w:val="5"/>
            <w:vAlign w:val="center"/>
          </w:tcPr>
          <w:p>
            <w:pPr>
              <w:jc w:val="center"/>
            </w:pPr>
            <w:r>
              <w:rPr>
                <w:rFonts w:ascii="Times New Roman" w:hAnsi="Times New Roman" w:eastAsia="Times New Roman" w:cs="Times New Roman"/>
                <w:color w:val="000000"/>
                <w:sz w:val="20"/>
              </w:rPr>
              <w:t>绩效指标完成的指标</w:t>
            </w:r>
          </w:p>
        </w:tc>
        <w:tc>
          <w:tcPr>
            <w:tcW w:w="5752" w:type="dxa"/>
            <w:gridSpan w:val="5"/>
            <w:vAlign w:val="center"/>
          </w:tcPr>
          <w:p>
            <w:pPr>
              <w:jc w:val="center"/>
              <w:textAlignment w:val="center"/>
              <w:rPr>
                <w:rFonts w:eastAsia="仿宋_GB2312" w:cs="Times New Roman"/>
                <w:color w:val="000000"/>
                <w:sz w:val="18"/>
                <w:szCs w:val="18"/>
              </w:rPr>
            </w:pPr>
            <w:r>
              <w:rPr>
                <w:rStyle w:val="19"/>
                <w:rFonts w:hint="eastAsia" w:ascii="Times New Roman" w:cs="Times New Roman"/>
              </w:rPr>
              <w:t>完成了年初制定的预算，</w:t>
            </w:r>
            <w:r>
              <w:rPr>
                <w:rStyle w:val="19"/>
                <w:rFonts w:ascii="Times New Roman" w:cs="Times New Roman"/>
              </w:rPr>
              <w:t>预算完成率</w:t>
            </w:r>
            <w:r>
              <w:rPr>
                <w:rFonts w:hint="eastAsia" w:eastAsia="仿宋_GB2312" w:cs="Times New Roman"/>
                <w:color w:val="000000"/>
                <w:sz w:val="18"/>
                <w:szCs w:val="18"/>
              </w:rPr>
              <w:t>良、</w:t>
            </w:r>
            <w:r>
              <w:rPr>
                <w:rStyle w:val="19"/>
                <w:rFonts w:ascii="Times New Roman" w:cs="Times New Roman"/>
              </w:rPr>
              <w:t>结转结余变动率</w:t>
            </w:r>
            <w:r>
              <w:rPr>
                <w:rStyle w:val="19"/>
                <w:rFonts w:hint="eastAsia" w:ascii="Times New Roman" w:cs="Times New Roman"/>
              </w:rPr>
              <w:t>、</w:t>
            </w:r>
            <w:r>
              <w:rPr>
                <w:rStyle w:val="19"/>
                <w:rFonts w:ascii="Times New Roman" w:cs="Times New Roman"/>
              </w:rPr>
              <w:t>问题资金占比</w:t>
            </w:r>
            <w:r>
              <w:rPr>
                <w:rStyle w:val="19"/>
                <w:rFonts w:hint="eastAsia" w:ascii="Times New Roman" w:cs="Times New Roman"/>
              </w:rPr>
              <w:t>、</w:t>
            </w:r>
            <w:r>
              <w:rPr>
                <w:rStyle w:val="19"/>
                <w:rFonts w:ascii="Times New Roman" w:cs="Times New Roman"/>
              </w:rPr>
              <w:t>政府采购执行率</w:t>
            </w:r>
            <w:r>
              <w:rPr>
                <w:rStyle w:val="19"/>
                <w:rFonts w:hint="eastAsia" w:ascii="Times New Roman" w:cs="Times New Roman"/>
              </w:rPr>
              <w:t>、</w:t>
            </w:r>
            <w:r>
              <w:rPr>
                <w:rStyle w:val="19"/>
                <w:rFonts w:ascii="Times New Roman" w:cs="Times New Roman"/>
              </w:rPr>
              <w:t>资产管理规范性</w:t>
            </w:r>
            <w:r>
              <w:rPr>
                <w:rStyle w:val="19"/>
                <w:rFonts w:hint="eastAsia" w:ascii="Times New Roman" w:cs="Times New Roman"/>
              </w:rPr>
              <w:t>、</w:t>
            </w:r>
            <w:r>
              <w:rPr>
                <w:rStyle w:val="19"/>
                <w:rFonts w:ascii="Times New Roman" w:cs="Times New Roman"/>
              </w:rPr>
              <w:t>在职人员控制率</w:t>
            </w:r>
            <w:r>
              <w:rPr>
                <w:rStyle w:val="19"/>
                <w:rFonts w:hint="eastAsia" w:ascii="Times New Roman" w:cs="Times New Roman"/>
              </w:rPr>
              <w:t>、</w:t>
            </w:r>
            <w:r>
              <w:rPr>
                <w:rStyle w:val="19"/>
                <w:rFonts w:ascii="Times New Roman" w:cs="Times New Roman"/>
              </w:rPr>
              <w:t>预决算信息</w:t>
            </w:r>
            <w:r>
              <w:rPr>
                <w:rStyle w:val="19"/>
                <w:rFonts w:hint="eastAsia" w:ascii="Times New Roman" w:cs="Times New Roman"/>
              </w:rPr>
              <w:t>及绩效信息</w:t>
            </w:r>
            <w:r>
              <w:rPr>
                <w:rStyle w:val="19"/>
                <w:rFonts w:ascii="Times New Roman" w:cs="Times New Roman"/>
              </w:rPr>
              <w:t>公开性</w:t>
            </w:r>
            <w:r>
              <w:rPr>
                <w:rStyle w:val="19"/>
                <w:rFonts w:hint="eastAsia" w:ascii="Times New Roman" w:cs="Times New Roman"/>
              </w:rPr>
              <w:t>、</w:t>
            </w:r>
            <w:r>
              <w:rPr>
                <w:rStyle w:val="19"/>
                <w:rFonts w:ascii="Times New Roman" w:cs="Times New Roman"/>
              </w:rPr>
              <w:t>绩效自评覆盖率</w:t>
            </w:r>
            <w:r>
              <w:rPr>
                <w:rStyle w:val="19"/>
                <w:rFonts w:hint="eastAsia" w:ascii="Times New Roman" w:cs="Times New Roman"/>
              </w:rPr>
              <w:t>以及部门产出、部门效果等方面的指标均达标。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3189" w:type="dxa"/>
            <w:gridSpan w:val="5"/>
            <w:vAlign w:val="center"/>
          </w:tcPr>
          <w:p>
            <w:pPr>
              <w:jc w:val="center"/>
            </w:pPr>
            <w:r>
              <w:rPr>
                <w:rFonts w:ascii="Times New Roman" w:hAnsi="Times New Roman" w:eastAsia="Times New Roman" w:cs="Times New Roman"/>
                <w:color w:val="000000"/>
                <w:sz w:val="20"/>
              </w:rPr>
              <w:t>超标完成和尚未完成的绩效指标与目标值偏差程度</w:t>
            </w:r>
          </w:p>
        </w:tc>
        <w:tc>
          <w:tcPr>
            <w:tcW w:w="5752" w:type="dxa"/>
            <w:gridSpan w:val="5"/>
            <w:vAlign w:val="center"/>
          </w:tcPr>
          <w:p>
            <w:pPr>
              <w:jc w:val="center"/>
              <w:textAlignment w:val="center"/>
              <w:rPr>
                <w:rFonts w:eastAsia="仿宋_GB2312" w:cs="Times New Roman"/>
                <w:color w:val="000000"/>
                <w:sz w:val="18"/>
                <w:szCs w:val="18"/>
              </w:rPr>
            </w:pPr>
            <w:r>
              <w:rPr>
                <w:rFonts w:hint="eastAsia" w:eastAsia="仿宋_GB2312" w:cs="Times New Roman"/>
                <w:color w:val="000000"/>
                <w:sz w:val="18"/>
                <w:szCs w:val="18"/>
              </w:rPr>
              <w:t>年度工作中重点工作实际完成率、重点工作完成及时率超标186%，结转结余变动率超标100%，“三公经费”变动率超标1326.58%。</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10" w:hRule="atLeast"/>
        </w:trPr>
        <w:tc>
          <w:tcPr>
            <w:tcW w:w="3189" w:type="dxa"/>
            <w:gridSpan w:val="5"/>
            <w:vAlign w:val="center"/>
          </w:tcPr>
          <w:p>
            <w:pPr>
              <w:jc w:val="center"/>
            </w:pPr>
            <w:r>
              <w:rPr>
                <w:rFonts w:ascii="Times New Roman" w:hAnsi="Times New Roman" w:eastAsia="Times New Roman" w:cs="Times New Roman"/>
                <w:color w:val="000000"/>
                <w:sz w:val="20"/>
              </w:rPr>
              <w:t>超标完成和尚未完成的绩效指标原因说明</w:t>
            </w:r>
          </w:p>
        </w:tc>
        <w:tc>
          <w:tcPr>
            <w:tcW w:w="5752" w:type="dxa"/>
            <w:gridSpan w:val="5"/>
            <w:vAlign w:val="center"/>
          </w:tcPr>
          <w:p>
            <w:pPr>
              <w:jc w:val="center"/>
            </w:pPr>
            <w:r>
              <w:rPr>
                <w:rFonts w:hint="eastAsia" w:eastAsia="仿宋_GB2312" w:cs="Times New Roman"/>
                <w:color w:val="000000"/>
                <w:sz w:val="18"/>
                <w:szCs w:val="18"/>
              </w:rPr>
              <w:t>年度工作中重点工作实际完成率、重点工作完成及时率及结转结余变动率挽回经济损失均超标完成，是由于本委2019年度加在反腐力度及工作量，同时提高资金使用效率，使得超标完成相关的绩效指标。另外，“三公经费”变动率超标较多，是由于2019年度本委为工作需要更新了两辆执法执勤车辆，使得三公经费严重超标。</w:t>
            </w:r>
            <w:r>
              <w:rPr>
                <w:rFonts w:ascii="Times New Roman" w:hAnsi="Times New Roman" w:eastAsia="Times New Roman" w:cs="Times New Roman"/>
                <w:color w:val="000000"/>
                <w:sz w:val="20"/>
              </w:rPr>
              <w:t>结合相应指标逐项说明原因。</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90" w:hRule="atLeast"/>
        </w:trPr>
        <w:tc>
          <w:tcPr>
            <w:tcW w:w="1152" w:type="dxa"/>
            <w:gridSpan w:val="2"/>
            <w:vMerge w:val="restart"/>
            <w:vAlign w:val="center"/>
          </w:tcPr>
          <w:p>
            <w:pPr>
              <w:jc w:val="center"/>
            </w:pPr>
            <w:r>
              <w:rPr>
                <w:rFonts w:ascii="Times New Roman" w:hAnsi="Times New Roman" w:eastAsia="Times New Roman" w:cs="Times New Roman"/>
                <w:color w:val="000000"/>
                <w:sz w:val="20"/>
              </w:rPr>
              <w:t>改进措施</w:t>
            </w:r>
          </w:p>
        </w:tc>
        <w:tc>
          <w:tcPr>
            <w:tcW w:w="2037" w:type="dxa"/>
            <w:gridSpan w:val="3"/>
            <w:vAlign w:val="center"/>
          </w:tcPr>
          <w:p>
            <w:pPr>
              <w:jc w:val="left"/>
            </w:pPr>
            <w:r>
              <w:rPr>
                <w:rFonts w:ascii="Times New Roman" w:hAnsi="Times New Roman" w:eastAsia="Times New Roman" w:cs="Times New Roman"/>
              </w:rPr>
              <w:t>1.对部门预算编制、预算执行与部门决算等的措施</w:t>
            </w:r>
          </w:p>
        </w:tc>
        <w:tc>
          <w:tcPr>
            <w:tcW w:w="5752" w:type="dxa"/>
            <w:gridSpan w:val="5"/>
            <w:vAlign w:val="center"/>
          </w:tcPr>
          <w:p>
            <w:pPr>
              <w:ind w:firstLine="360" w:firstLineChars="200"/>
              <w:rPr>
                <w:rFonts w:ascii="仿宋_GB2312" w:hAnsi="仿宋" w:eastAsia="仿宋_GB2312" w:cs="宋体"/>
                <w:color w:val="444444"/>
                <w:sz w:val="18"/>
                <w:szCs w:val="18"/>
              </w:rPr>
            </w:pPr>
            <w:r>
              <w:rPr>
                <w:rFonts w:hint="eastAsia" w:ascii="仿宋_GB2312" w:hAnsi="仿宋" w:eastAsia="仿宋_GB2312" w:cs="宋体"/>
                <w:color w:val="444444"/>
                <w:sz w:val="18"/>
                <w:szCs w:val="18"/>
              </w:rPr>
              <w:t>细化预算编制工作，认真做好预算的编制。全面编制预算项目，优先保障固定性的、相对刚性的费用支出项目，尽量压缩变动性的、有控制空间的费用项目，进一步提高预算编制的科学性、严谨性和可控性，提高预算的合理性和准确性。</w:t>
            </w:r>
          </w:p>
          <w:p>
            <w:pPr>
              <w:jc w:val="center"/>
              <w:textAlignment w:val="center"/>
              <w:rPr>
                <w:rFonts w:ascii="仿宋_GB2312" w:eastAsia="仿宋_GB2312" w:cs="Times New Roman"/>
                <w:color w:val="000000"/>
                <w:sz w:val="18"/>
                <w:szCs w:val="18"/>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70" w:hRule="atLeast"/>
        </w:trPr>
        <w:tc>
          <w:tcPr>
            <w:tcW w:w="1152" w:type="dxa"/>
            <w:gridSpan w:val="2"/>
            <w:vMerge w:val="continue"/>
            <w:vAlign w:val="center"/>
          </w:tcPr>
          <w:p>
            <w:pPr>
              <w:jc w:val="left"/>
            </w:pPr>
          </w:p>
        </w:tc>
        <w:tc>
          <w:tcPr>
            <w:tcW w:w="2037" w:type="dxa"/>
            <w:gridSpan w:val="3"/>
            <w:vAlign w:val="center"/>
          </w:tcPr>
          <w:p>
            <w:pPr>
              <w:jc w:val="left"/>
            </w:pPr>
            <w:r>
              <w:rPr>
                <w:rFonts w:ascii="Times New Roman" w:hAnsi="Times New Roman" w:eastAsia="Times New Roman" w:cs="Times New Roman"/>
              </w:rPr>
              <w:t>2.对制度完善、人员管理、资产配置等的措施</w:t>
            </w:r>
          </w:p>
        </w:tc>
        <w:tc>
          <w:tcPr>
            <w:tcW w:w="5752" w:type="dxa"/>
            <w:gridSpan w:val="5"/>
            <w:vAlign w:val="center"/>
          </w:tcPr>
          <w:p>
            <w:pPr>
              <w:jc w:val="center"/>
              <w:textAlignment w:val="center"/>
              <w:rPr>
                <w:rFonts w:ascii="仿宋_GB2312" w:eastAsia="仿宋_GB2312" w:cs="Times New Roman"/>
                <w:color w:val="000000"/>
                <w:sz w:val="18"/>
                <w:szCs w:val="18"/>
              </w:rPr>
            </w:pPr>
            <w:r>
              <w:rPr>
                <w:rFonts w:hint="eastAsia" w:ascii="仿宋_GB2312" w:hAnsi="仿宋" w:eastAsia="仿宋_GB2312" w:cs="宋体"/>
                <w:color w:val="444444"/>
                <w:sz w:val="18"/>
                <w:szCs w:val="18"/>
              </w:rPr>
              <w:t>积极采取措施，结合县财政提供学习培训机会，针对预算绩效管理工作开展系统的培训，加强把握工作重点，提高预算绩效管理工作水平。</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85" w:hRule="atLeast"/>
        </w:trPr>
        <w:tc>
          <w:tcPr>
            <w:tcW w:w="1152" w:type="dxa"/>
            <w:gridSpan w:val="2"/>
            <w:vMerge w:val="continue"/>
            <w:vAlign w:val="center"/>
          </w:tcPr>
          <w:p>
            <w:pPr>
              <w:jc w:val="left"/>
            </w:pPr>
          </w:p>
        </w:tc>
        <w:tc>
          <w:tcPr>
            <w:tcW w:w="2037" w:type="dxa"/>
            <w:gridSpan w:val="3"/>
            <w:vAlign w:val="center"/>
          </w:tcPr>
          <w:p>
            <w:pPr>
              <w:jc w:val="left"/>
            </w:pPr>
            <w:r>
              <w:rPr>
                <w:rFonts w:ascii="Times New Roman" w:hAnsi="Times New Roman" w:eastAsia="Times New Roman" w:cs="Times New Roman"/>
              </w:rPr>
              <w:t>3.其他措施</w:t>
            </w:r>
          </w:p>
        </w:tc>
        <w:tc>
          <w:tcPr>
            <w:tcW w:w="5752" w:type="dxa"/>
            <w:gridSpan w:val="5"/>
            <w:vAlign w:val="center"/>
          </w:tcPr>
          <w:p>
            <w:pPr>
              <w:jc w:val="center"/>
              <w:textAlignment w:val="center"/>
              <w:rPr>
                <w:rFonts w:ascii="仿宋_GB2312" w:eastAsia="仿宋_GB2312" w:cs="Times New Roman"/>
                <w:color w:val="000000"/>
                <w:sz w:val="18"/>
                <w:szCs w:val="18"/>
              </w:rPr>
            </w:pPr>
            <w:r>
              <w:rPr>
                <w:rFonts w:hint="eastAsia" w:ascii="仿宋_GB2312" w:eastAsia="仿宋_GB2312" w:cs="Times New Roman"/>
                <w:color w:val="000000"/>
                <w:sz w:val="18"/>
                <w:szCs w:val="18"/>
              </w:rPr>
              <w:t>完善了机关整体支出管理方面的内控制度，进一步细化相关的管理制度，严格用制度管人管事管钱，细化内部管理，严格审核审批</w:t>
            </w:r>
          </w:p>
        </w:tc>
      </w:tr>
    </w:tbl>
    <w:p>
      <w:pPr>
        <w:pStyle w:val="14"/>
        <w:spacing w:line="580" w:lineRule="auto"/>
        <w:ind w:firstLine="420"/>
        <w:rPr>
          <w:rFonts w:ascii="Times New Roman" w:hAnsi="Times New Roman" w:eastAsia="仿宋_GB2312" w:cs="Times New Roman"/>
          <w:kern w:val="2"/>
          <w:sz w:val="32"/>
          <w:szCs w:val="32"/>
        </w:rPr>
      </w:pPr>
    </w:p>
    <w:p>
      <w:pPr>
        <w:widowControl/>
        <w:jc w:val="left"/>
        <w:rPr>
          <w:rFonts w:eastAsia="仿宋_GB2312"/>
          <w:color w:val="000000"/>
          <w:kern w:val="0"/>
          <w:sz w:val="24"/>
        </w:rPr>
      </w:pPr>
    </w:p>
    <w:p>
      <w:pPr>
        <w:widowControl/>
        <w:jc w:val="left"/>
        <w:rPr>
          <w:rFonts w:eastAsia="仿宋_GB2312"/>
          <w:color w:val="000000"/>
          <w:kern w:val="0"/>
          <w:sz w:val="24"/>
        </w:rPr>
      </w:pPr>
    </w:p>
    <w:p>
      <w:pPr>
        <w:widowControl/>
        <w:jc w:val="left"/>
        <w:rPr>
          <w:rFonts w:eastAsia="仿宋_GB2312"/>
          <w:color w:val="000000"/>
          <w:kern w:val="0"/>
          <w:sz w:val="24"/>
        </w:rPr>
      </w:pPr>
    </w:p>
    <w:p>
      <w:pPr>
        <w:widowControl/>
        <w:jc w:val="left"/>
        <w:rPr>
          <w:rFonts w:eastAsia="仿宋_GB2312"/>
          <w:color w:val="000000"/>
          <w:kern w:val="0"/>
          <w:sz w:val="24"/>
        </w:rPr>
      </w:pPr>
    </w:p>
    <w:p>
      <w:pPr>
        <w:widowControl/>
        <w:jc w:val="left"/>
        <w:rPr>
          <w:rFonts w:eastAsia="仿宋_GB2312"/>
          <w:color w:val="000000"/>
          <w:kern w:val="0"/>
          <w:sz w:val="24"/>
        </w:rPr>
      </w:pPr>
    </w:p>
    <w:p>
      <w:pPr>
        <w:widowControl/>
        <w:jc w:val="left"/>
        <w:rPr>
          <w:rFonts w:eastAsia="仿宋_GB2312"/>
          <w:color w:val="000000"/>
          <w:kern w:val="0"/>
          <w:sz w:val="24"/>
        </w:rPr>
      </w:pPr>
    </w:p>
    <w:p>
      <w:pPr>
        <w:widowControl/>
        <w:jc w:val="left"/>
      </w:pPr>
    </w:p>
    <w:p/>
    <w:p/>
    <w:p/>
    <w:p>
      <w:r>
        <mc:AlternateContent>
          <mc:Choice Requires="wps">
            <w:drawing>
              <wp:anchor distT="0" distB="0" distL="114300" distR="114300" simplePos="0" relativeHeight="251671552" behindDoc="0" locked="0" layoutInCell="1" allowOverlap="1">
                <wp:simplePos x="0" y="0"/>
                <wp:positionH relativeFrom="column">
                  <wp:posOffset>-895350</wp:posOffset>
                </wp:positionH>
                <wp:positionV relativeFrom="paragraph">
                  <wp:posOffset>-1082675</wp:posOffset>
                </wp:positionV>
                <wp:extent cx="7557770" cy="10682605"/>
                <wp:effectExtent l="0" t="0" r="5080" b="4445"/>
                <wp:wrapNone/>
                <wp:docPr id="17" name="Rectangle 14"/>
                <wp:cNvGraphicFramePr/>
                <a:graphic xmlns:a="http://schemas.openxmlformats.org/drawingml/2006/main">
                  <a:graphicData uri="http://schemas.microsoft.com/office/word/2010/wordprocessingShape">
                    <wps:wsp>
                      <wps:cNvSpPr/>
                      <wps:spPr>
                        <a:xfrm>
                          <a:off x="0" y="0"/>
                          <a:ext cx="7557770" cy="10682605"/>
                        </a:xfrm>
                        <a:prstGeom prst="rect">
                          <a:avLst/>
                        </a:prstGeom>
                        <a:solidFill>
                          <a:srgbClr val="FFC000"/>
                        </a:solidFill>
                        <a:ln>
                          <a:noFill/>
                        </a:ln>
                      </wps:spPr>
                      <wps:bodyPr anchor="ctr" anchorCtr="0" upright="1"/>
                    </wps:wsp>
                  </a:graphicData>
                </a:graphic>
              </wp:anchor>
            </w:drawing>
          </mc:Choice>
          <mc:Fallback>
            <w:pict>
              <v:rect id="Rectangle 14" o:spid="_x0000_s1026" o:spt="1" style="position:absolute;left:0pt;margin-left:-70.5pt;margin-top:-85.25pt;height:841.15pt;width:595.1pt;z-index:251671552;v-text-anchor:middle;mso-width-relative:page;mso-height-relative:page;" fillcolor="#FFC000" filled="t" stroked="f" coordsize="21600,21600" o:gfxdata="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Py+4e3gAAAA8BAAAPAAAAAAAAAAEAIAAAACIAAABkcnMvZG93bnJldi54&#10;bWxQSwECFAAUAAAACACHTuJAnDVlnbsBAACBAwAADgAAAAAAAAABACAAAAAtAQAAZHJzL2Uyb0Rv&#10;Yy54bWxQSwUGAAAAAAYABgBZAQAAWgUAAAAA&#10;">
                <v:fill on="t" focussize="0,0"/>
                <v:stroke on="f"/>
                <v:imagedata o:title=""/>
                <o:lock v:ext="edit" aspectratio="f"/>
              </v:rect>
            </w:pict>
          </mc:Fallback>
        </mc:AlternateContent>
      </w:r>
    </w:p>
    <w:sectPr>
      <w:headerReference r:id="rId25" w:type="first"/>
      <w:headerReference r:id="rId24" w:type="default"/>
      <w:footerReference r:id="rId26" w:type="default"/>
      <w:pgSz w:w="11906" w:h="16838"/>
      <w:pgMar w:top="1701" w:right="1417" w:bottom="1281" w:left="141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等线">
    <w:altName w:val="微软雅黑"/>
    <w:panose1 w:val="00000000000000000000"/>
    <w:charset w:val="86"/>
    <w:family w:val="auto"/>
    <w:pitch w:val="default"/>
    <w:sig w:usb0="00000000" w:usb1="00000000" w:usb2="00000016" w:usb3="00000000" w:csb0="0004000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楷体_GB2312">
    <w:altName w:val="楷体"/>
    <w:panose1 w:val="02010609030101010101"/>
    <w:charset w:val="86"/>
    <w:family w:val="modern"/>
    <w:pitch w:val="default"/>
    <w:sig w:usb0="00000000" w:usb1="00000000" w:usb2="00000010" w:usb3="00000000" w:csb0="00040000" w:csb1="00000000"/>
  </w:font>
  <w:font w:name="Yu Gothic UI Semibold">
    <w:altName w:val="MS Mincho"/>
    <w:panose1 w:val="00000000000000000000"/>
    <w:charset w:val="80"/>
    <w:family w:val="auto"/>
    <w:pitch w:val="default"/>
    <w:sig w:usb0="00000000" w:usb1="00000000" w:usb2="00000016" w:usb3="00000000" w:csb0="0002009F" w:csb1="00000000"/>
  </w:font>
  <w:font w:name="思源黑体 HW Bold">
    <w:altName w:val="黑体"/>
    <w:panose1 w:val="00000000000000000000"/>
    <w:charset w:val="86"/>
    <w:family w:val="auto"/>
    <w:pitch w:val="default"/>
    <w:sig w:usb0="00000000" w:usb1="00000000" w:usb2="00000016" w:usb3="00000000" w:csb0="002E0107" w:csb1="00000000"/>
  </w:font>
  <w:font w:name="仿宋">
    <w:panose1 w:val="02010609060101010101"/>
    <w:charset w:val="86"/>
    <w:family w:val="modern"/>
    <w:pitch w:val="default"/>
    <w:sig w:usb0="800002BF" w:usb1="38CF7CFA" w:usb2="00000016" w:usb3="00000000" w:csb0="00040001" w:csb1="00000000"/>
  </w:font>
  <w:font w:name="ArialUnicodeMS">
    <w:altName w:val="Malgun Gothic"/>
    <w:panose1 w:val="00000000000000000000"/>
    <w:charset w:val="81"/>
    <w:family w:val="auto"/>
    <w:pitch w:val="default"/>
    <w:sig w:usb0="00000000" w:usb1="00000000" w:usb2="00000010" w:usb3="00000000" w:csb0="00080001" w:csb1="00000000"/>
  </w:font>
  <w:font w:name="Cambria">
    <w:panose1 w:val="02040503050406030204"/>
    <w:charset w:val="00"/>
    <w:family w:val="roman"/>
    <w:pitch w:val="default"/>
    <w:sig w:usb0="A00002EF" w:usb1="4000004B" w:usb2="00000000" w:usb3="00000000" w:csb0="2000009F" w:csb1="00000000"/>
  </w:font>
  <w:font w:name="DengXian-Regular">
    <w:altName w:val="宋体"/>
    <w:panose1 w:val="00000000000000000000"/>
    <w:charset w:val="86"/>
    <w:family w:val="auto"/>
    <w:pitch w:val="default"/>
    <w:sig w:usb0="00000000" w:usb1="00000000" w:usb2="00000010" w:usb3="00000000" w:csb0="00040001" w:csb1="00000000"/>
  </w:font>
  <w:font w:name="DengXian-Bold">
    <w:altName w:val="宋体"/>
    <w:panose1 w:val="00000000000000000000"/>
    <w:charset w:val="86"/>
    <w:family w:val="auto"/>
    <w:pitch w:val="default"/>
    <w:sig w:usb0="00000000" w:usb1="00000000" w:usb2="00000010" w:usb3="00000000" w:csb0="00040001" w:csb1="00000000"/>
  </w:font>
  <w:font w:name="TimesNewRomanPSMT">
    <w:altName w:val="Arial"/>
    <w:panose1 w:val="00000000000000000000"/>
    <w:charset w:val="00"/>
    <w:family w:val="auto"/>
    <w:pitch w:val="default"/>
    <w:sig w:usb0="00000000" w:usb1="00000000" w:usb2="00000000" w:usb3="00000000" w:csb0="00000001" w:csb1="00000000"/>
  </w:font>
  <w:font w:name="方正小标宋简体">
    <w:altName w:val="微软雅黑"/>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S Mincho">
    <w:panose1 w:val="02020609040205080304"/>
    <w:charset w:val="80"/>
    <w:family w:val="auto"/>
    <w:pitch w:val="default"/>
    <w:sig w:usb0="E00002FF" w:usb1="6AC7FDFB" w:usb2="00000012" w:usb3="00000000" w:csb0="4002009F" w:csb1="DFD70000"/>
  </w:font>
  <w:font w:name="Malgun Gothic">
    <w:panose1 w:val="020B0503020000020004"/>
    <w:charset w:val="81"/>
    <w:family w:val="auto"/>
    <w:pitch w:val="default"/>
    <w:sig w:usb0="900002AF" w:usb1="01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9504"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48" name="文本框 5"/>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a:noFill/>
                      </a:ln>
                    </wps:spPr>
                    <wps:txbx>
                      <w:txbxContent>
                        <w:p>
                          <w:pPr>
                            <w:pStyle w:val="6"/>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- 21 -</w:t>
                          </w:r>
                          <w:r>
                            <w:rPr>
                              <w:rFonts w:ascii="Times New Roman" w:hAnsi="Times New Roman" w:cs="Times New Roman"/>
                              <w:sz w:val="24"/>
                              <w:szCs w:val="24"/>
                            </w:rPr>
                            <w:fldChar w:fldCharType="end"/>
                          </w:r>
                        </w:p>
                      </w:txbxContent>
                    </wps:txbx>
                    <wps:bodyPr wrap="none" lIns="0" tIns="0" rIns="0" bIns="0" upright="1"/>
                  </wps:wsp>
                </a:graphicData>
              </a:graphic>
            </wp:anchor>
          </w:drawing>
        </mc:Choice>
        <mc:Fallback>
          <w:pict>
            <v:shape id="文本框 5" o:spid="_x0000_s1026" o:spt="202" type="#_x0000_t202" style="position:absolute;left:0pt;margin-left:209.15pt;margin-top:-6pt;height:18.7pt;width:144pt;mso-position-horizontal-relative:margin;mso-wrap-style:none;z-index:251669504;mso-width-relative:page;mso-height-relative:page;" filled="f" stroked="f" coordsize="21600,21600" o:gfxdata="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AdgVrtcAAAAKAQAADwAAAAAAAAABACAAAAAiAAAAZHJzL2Rvd25yZXYu&#10;eG1sUEsBAhQAFAAAAAgAh07iQPbs9gLDAQAAfwMAAA4AAAAAAAAAAQAgAAAAJgEAAGRycy9lMm9E&#10;b2MueG1sUEsFBgAAAAAGAAYAWQEAAFsFAAAAAA==&#10;">
              <v:fill on="f" focussize="0,0"/>
              <v:stroke on="f"/>
              <v:imagedata o:title=""/>
              <o:lock v:ext="edit" aspectratio="f"/>
              <v:textbox inset="0mm,0mm,0mm,0mm">
                <w:txbxContent>
                  <w:p>
                    <w:pPr>
                      <w:pStyle w:val="6"/>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- 21 -</w:t>
                    </w:r>
                    <w:r>
                      <w:rPr>
                        <w:rFonts w:ascii="Times New Roman" w:hAnsi="Times New Roman" w:cs="Times New Roman"/>
                        <w:sz w:val="24"/>
                        <w:szCs w:val="24"/>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70528" behindDoc="0" locked="0" layoutInCell="1" allowOverlap="1">
              <wp:simplePos x="0" y="0"/>
              <wp:positionH relativeFrom="margin">
                <wp:posOffset>2609215</wp:posOffset>
              </wp:positionH>
              <wp:positionV relativeFrom="paragraph">
                <wp:posOffset>-238125</wp:posOffset>
              </wp:positionV>
              <wp:extent cx="382905" cy="399415"/>
              <wp:effectExtent l="0" t="0" r="0" b="0"/>
              <wp:wrapNone/>
              <wp:docPr id="49" name="文本框 14"/>
              <wp:cNvGraphicFramePr/>
              <a:graphic xmlns:a="http://schemas.openxmlformats.org/drawingml/2006/main">
                <a:graphicData uri="http://schemas.microsoft.com/office/word/2010/wordprocessingShape">
                  <wps:wsp>
                    <wps:cNvSpPr txBox="1"/>
                    <wps:spPr>
                      <a:xfrm>
                        <a:off x="0" y="0"/>
                        <a:ext cx="382905" cy="399415"/>
                      </a:xfrm>
                      <a:prstGeom prst="rect">
                        <a:avLst/>
                      </a:prstGeom>
                      <a:noFill/>
                      <a:ln>
                        <a:noFill/>
                      </a:ln>
                    </wps:spPr>
                    <wps:txbx>
                      <w:txbxContent>
                        <w:p>
                          <w:pPr>
                            <w:pStyle w:val="6"/>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- 17 -</w:t>
                          </w:r>
                          <w:r>
                            <w:rPr>
                              <w:rFonts w:ascii="Times New Roman" w:hAnsi="Times New Roman" w:cs="Times New Roman"/>
                              <w:sz w:val="24"/>
                              <w:szCs w:val="24"/>
                            </w:rPr>
                            <w:fldChar w:fldCharType="end"/>
                          </w:r>
                        </w:p>
                      </w:txbxContent>
                    </wps:txbx>
                    <wps:bodyPr lIns="0" tIns="0" rIns="0" bIns="0" upright="1"/>
                  </wps:wsp>
                </a:graphicData>
              </a:graphic>
            </wp:anchor>
          </w:drawing>
        </mc:Choice>
        <mc:Fallback>
          <w:pict>
            <v:shape id="文本框 14" o:spid="_x0000_s1026" o:spt="202" type="#_x0000_t202" style="position:absolute;left:0pt;margin-left:205.45pt;margin-top:-18.75pt;height:31.45pt;width:30.15pt;mso-position-horizontal-relative:margin;z-index:251670528;mso-width-relative:page;mso-height-relative:page;" filled="f" stroked="f" coordsize="21600,21600" o:gfxdata="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nYlAjNoAAAAKAQAADwAAAAAAAAABACAAAAAiAAAAZHJzL2Rvd25yZXYueG1s&#10;UEsBAhQAFAAAAAgAh07iQCcIbRi9AQAAcwMAAA4AAAAAAAAAAQAgAAAAKQEAAGRycy9lMm9Eb2Mu&#10;eG1sUEsFBgAAAAAGAAYAWQEAAFgFAAAAAA==&#10;">
              <v:fill on="f" focussize="0,0"/>
              <v:stroke on="f"/>
              <v:imagedata o:title=""/>
              <o:lock v:ext="edit" aspectratio="f"/>
              <v:textbox inset="0mm,0mm,0mm,0mm">
                <w:txbxContent>
                  <w:p>
                    <w:pPr>
                      <w:pStyle w:val="6"/>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- 17 -</w:t>
                    </w:r>
                    <w:r>
                      <w:rPr>
                        <w:rFonts w:ascii="Times New Roman" w:hAnsi="Times New Roman" w:cs="Times New Roman"/>
                        <w:sz w:val="24"/>
                        <w:szCs w:val="24"/>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73600"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57" name="文本框 45"/>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a:noFill/>
                      </a:ln>
                    </wps:spPr>
                    <wps:txbx>
                      <w:txbxContent>
                        <w:p>
                          <w:pPr>
                            <w:pStyle w:val="6"/>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- 35 -</w:t>
                          </w:r>
                          <w:r>
                            <w:rPr>
                              <w:rFonts w:ascii="Times New Roman" w:hAnsi="Times New Roman" w:cs="Times New Roman"/>
                              <w:sz w:val="24"/>
                              <w:szCs w:val="24"/>
                            </w:rPr>
                            <w:fldChar w:fldCharType="end"/>
                          </w:r>
                        </w:p>
                      </w:txbxContent>
                    </wps:txbx>
                    <wps:bodyPr wrap="none" lIns="0" tIns="0" rIns="0" bIns="0" upright="1"/>
                  </wps:wsp>
                </a:graphicData>
              </a:graphic>
            </wp:anchor>
          </w:drawing>
        </mc:Choice>
        <mc:Fallback>
          <w:pict>
            <v:shape id="文本框 45" o:spid="_x0000_s1026" o:spt="202" type="#_x0000_t202" style="position:absolute;left:0pt;margin-left:209.15pt;margin-top:-6pt;height:18.7pt;width:144pt;mso-position-horizontal-relative:margin;mso-wrap-style:none;z-index:251673600;mso-width-relative:page;mso-height-relative:page;" filled="f" stroked="f" coordsize="21600,21600" o:gfxdata="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B2BWu1wAAAAoBAAAPAAAAAAAAAAEAIAAAACIAAABkcnMvZG93bnJl&#10;di54bWxQSwECFAAUAAAACACHTuJAj9+kyMUBAACAAwAADgAAAAAAAAABACAAAAAmAQAAZHJzL2Uy&#10;b0RvYy54bWxQSwUGAAAAAAYABgBZAQAAXQUAAAAA&#10;">
              <v:fill on="f" focussize="0,0"/>
              <v:stroke on="f"/>
              <v:imagedata o:title=""/>
              <o:lock v:ext="edit" aspectratio="f"/>
              <v:textbox inset="0mm,0mm,0mm,0mm">
                <w:txbxContent>
                  <w:p>
                    <w:pPr>
                      <w:pStyle w:val="6"/>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- 35 -</w:t>
                    </w:r>
                    <w:r>
                      <w:rPr>
                        <w:rFonts w:ascii="Times New Roman" w:hAnsi="Times New Roman" w:cs="Times New Roman"/>
                        <w:sz w:val="24"/>
                        <w:szCs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g">
          <w:drawing>
            <wp:anchor distT="0" distB="0" distL="114300" distR="114300" simplePos="0" relativeHeight="251662336" behindDoc="0" locked="0" layoutInCell="1" allowOverlap="1">
              <wp:simplePos x="0" y="0"/>
              <wp:positionH relativeFrom="page">
                <wp:align>left</wp:align>
              </wp:positionH>
              <wp:positionV relativeFrom="page">
                <wp:posOffset>377825</wp:posOffset>
              </wp:positionV>
              <wp:extent cx="2000250" cy="406400"/>
              <wp:effectExtent l="0" t="0" r="0" b="0"/>
              <wp:wrapNone/>
              <wp:docPr id="26" name="组合 76"/>
              <wp:cNvGraphicFramePr/>
              <a:graphic xmlns:a="http://schemas.openxmlformats.org/drawingml/2006/main">
                <a:graphicData uri="http://schemas.microsoft.com/office/word/2010/wordprocessingGroup">
                  <wpg:wgp>
                    <wpg:cNvGrpSpPr/>
                    <wpg:grpSpPr>
                      <a:xfrm>
                        <a:off x="0" y="0"/>
                        <a:ext cx="2000250" cy="406400"/>
                        <a:chOff x="1337" y="880"/>
                        <a:chExt cx="3150" cy="640"/>
                      </a:xfrm>
                    </wpg:grpSpPr>
                    <wps:wsp>
                      <wps:cNvPr id="24" name="Quad Arrow 2104"/>
                      <wps:cNvSpPr txBox="1"/>
                      <wps:spPr>
                        <a:xfrm>
                          <a:off x="1401" y="880"/>
                          <a:ext cx="3087" cy="641"/>
                        </a:xfrm>
                        <a:prstGeom prst="rect">
                          <a:avLst/>
                        </a:prstGeom>
                        <a:noFill/>
                        <a:ln>
                          <a:noFill/>
                        </a:ln>
                      </wps:spPr>
                      <wps:txb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wps:txbx>
                      <wps:bodyPr upright="1"/>
                    </wps:wsp>
                    <wps:wsp>
                      <wps:cNvPr id="25" name="矩形 7"/>
                      <wps:cNvSpPr/>
                      <wps:spPr>
                        <a:xfrm>
                          <a:off x="1337" y="1044"/>
                          <a:ext cx="119" cy="330"/>
                        </a:xfrm>
                        <a:prstGeom prst="rect">
                          <a:avLst/>
                        </a:prstGeom>
                        <a:solidFill>
                          <a:srgbClr val="000000"/>
                        </a:solidFill>
                        <a:ln>
                          <a:noFill/>
                        </a:ln>
                      </wps:spPr>
                      <wps:bodyPr anchor="ctr" anchorCtr="0" upright="1"/>
                    </wps:wsp>
                  </wpg:wgp>
                </a:graphicData>
              </a:graphic>
            </wp:anchor>
          </w:drawing>
        </mc:Choice>
        <mc:Fallback>
          <w:pict>
            <v:group id="组合 76" o:spid="_x0000_s1026" o:spt="203" style="position:absolute;left:0pt;margin-top:29.75pt;height:32pt;width:157.5pt;mso-position-horizontal:left;mso-position-horizontal-relative:page;mso-position-vertical-relative:page;z-index:251662336;mso-width-relative:page;mso-height-relative:page;" coordorigin="1337,880" coordsize="3150,640"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OzG97nXAAAABwEAAA8AAAAAAAAAAQAgAAAA&#10;IgAAAGRycy9kb3ducmV2LnhtbFBLAQIUABQAAAAIAIdO4kCC+4kPfgIAAB4GAAAOAAAAAAAAAAEA&#10;IAAAACYBAABkcnMvZTJvRG9jLnhtbFBLBQYAAAAABgAGAFkBAAAWBgAAAAA=&#10;">
              <o:lock v:ext="edit" aspectratio="f"/>
              <v:shape id="Quad Arrow 2104" o:spid="_x0000_s1026" o:spt="202" type="#_x0000_t202" style="position:absolute;left:1401;top:880;height:641;width:3087;" filled="f" stroked="f" coordsize="21600,21600" o:gfxdata="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y5EpI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1026" o:spt="1" style="position:absolute;left:1337;top:1044;height:330;width:119;v-text-anchor:middle;" fillcolor="#000000" filled="t" stroked="f" coordsize="21600,21600" o:gfxdata="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E2n8CugAAANsA&#10;AAAPAAAAAAAAAAEAIAAAACIAAABkcnMvZG93bnJldi54bWxQSwECFAAUAAAACACHTuJAMy8FnjsA&#10;AAA5AAAAEAAAAAAAAAABACAAAAAJAQAAZHJzL3NoYXBleG1sLnhtbFBLBQYAAAAABgAGAFsBAACz&#10;AwAAAAA=&#10;">
                <v:fill on="t" focussize="0,0"/>
                <v:stroke on="f"/>
                <v:imagedata o:title=""/>
                <o:lock v:ext="edit" aspectratio="f"/>
              </v:rect>
            </v:group>
          </w:pict>
        </mc:Fallback>
      </mc:AlternateContent>
    </w:r>
    <w:r>
      <mc:AlternateContent>
        <mc:Choice Requires="wpg">
          <w:drawing>
            <wp:anchor distT="0" distB="0" distL="114300" distR="114300" simplePos="0" relativeHeight="251661312" behindDoc="0" locked="0" layoutInCell="1" allowOverlap="1">
              <wp:simplePos x="0" y="0"/>
              <wp:positionH relativeFrom="page">
                <wp:align>center</wp:align>
              </wp:positionH>
              <wp:positionV relativeFrom="page">
                <wp:posOffset>-748665</wp:posOffset>
              </wp:positionV>
              <wp:extent cx="7560310" cy="748665"/>
              <wp:effectExtent l="0" t="0" r="2540" b="13335"/>
              <wp:wrapNone/>
              <wp:docPr id="23" name="组合 79"/>
              <wp:cNvGraphicFramePr/>
              <a:graphic xmlns:a="http://schemas.openxmlformats.org/drawingml/2006/main">
                <a:graphicData uri="http://schemas.microsoft.com/office/word/2010/wordprocessingGroup">
                  <wpg:wgp>
                    <wpg:cNvGrpSpPr/>
                    <wpg:grpSpPr>
                      <a:xfrm>
                        <a:off x="0" y="0"/>
                        <a:ext cx="7560310" cy="748665"/>
                        <a:chOff x="881" y="505"/>
                        <a:chExt cx="11930" cy="1179"/>
                      </a:xfrm>
                    </wpg:grpSpPr>
                    <wps:wsp>
                      <wps:cNvPr id="20" name="矩形 2"/>
                      <wps:cNvSpPr/>
                      <wps:spPr>
                        <a:xfrm>
                          <a:off x="881" y="1538"/>
                          <a:ext cx="11925" cy="146"/>
                        </a:xfrm>
                        <a:prstGeom prst="rect">
                          <a:avLst/>
                        </a:prstGeom>
                        <a:solidFill>
                          <a:srgbClr val="FFD966"/>
                        </a:solidFill>
                        <a:ln>
                          <a:noFill/>
                        </a:ln>
                      </wps:spPr>
                      <wps:bodyPr anchor="ctr" anchorCtr="0" upright="1"/>
                    </wps:wsp>
                    <wps:wsp>
                      <wps:cNvPr id="21" name="任意多边形 3"/>
                      <wps:cNvSpPr/>
                      <wps:spPr>
                        <a:xfrm>
                          <a:off x="10177" y="686"/>
                          <a:ext cx="2619" cy="862"/>
                        </a:xfrm>
                        <a:custGeom>
                          <a:avLst/>
                          <a:gdLst/>
                          <a:ahLst/>
                          <a:cxnLst/>
                          <a:pathLst>
                            <a:path w="2619" h="862">
                              <a:moveTo>
                                <a:pt x="595" y="1"/>
                              </a:moveTo>
                              <a:lnTo>
                                <a:pt x="2619" y="0"/>
                              </a:lnTo>
                              <a:lnTo>
                                <a:pt x="2619" y="862"/>
                              </a:lnTo>
                              <a:lnTo>
                                <a:pt x="0" y="862"/>
                              </a:lnTo>
                              <a:lnTo>
                                <a:pt x="595" y="1"/>
                              </a:lnTo>
                              <a:close/>
                            </a:path>
                          </a:pathLst>
                        </a:custGeom>
                        <a:solidFill>
                          <a:srgbClr val="000000"/>
                        </a:solidFill>
                        <a:ln>
                          <a:noFill/>
                        </a:ln>
                      </wps:spPr>
                      <wps:bodyPr anchor="ctr" anchorCtr="0" upright="1"/>
                    </wps:wsp>
                    <wps:wsp>
                      <wps:cNvPr id="22" name="任意多边形 4"/>
                      <wps:cNvSpPr/>
                      <wps:spPr>
                        <a:xfrm>
                          <a:off x="10467" y="505"/>
                          <a:ext cx="2345" cy="1108"/>
                        </a:xfrm>
                        <a:custGeom>
                          <a:avLst/>
                          <a:gdLst/>
                          <a:ahLst/>
                          <a:cxnLst/>
                          <a:pathLst>
                            <a:path w="2619" h="1265">
                              <a:moveTo>
                                <a:pt x="668" y="0"/>
                              </a:moveTo>
                              <a:lnTo>
                                <a:pt x="2619" y="10"/>
                              </a:lnTo>
                              <a:lnTo>
                                <a:pt x="2619" y="1265"/>
                              </a:lnTo>
                              <a:lnTo>
                                <a:pt x="0" y="1265"/>
                              </a:lnTo>
                              <a:lnTo>
                                <a:pt x="668" y="0"/>
                              </a:lnTo>
                              <a:close/>
                            </a:path>
                          </a:pathLst>
                        </a:custGeom>
                        <a:solidFill>
                          <a:srgbClr val="FFD966"/>
                        </a:solidFill>
                        <a:ln>
                          <a:noFill/>
                        </a:ln>
                      </wps:spPr>
                      <wps:bodyPr anchor="ctr" anchorCtr="0" upright="1"/>
                    </wps:wsp>
                  </wpg:wgp>
                </a:graphicData>
              </a:graphic>
            </wp:anchor>
          </w:drawing>
        </mc:Choice>
        <mc:Fallback>
          <w:pict>
            <v:group id="组合 79" o:spid="_x0000_s1026" o:spt="203" style="position:absolute;left:0pt;margin-top:-58.95pt;height:58.95pt;width:595.3pt;mso-position-horizontal:center;mso-position-horizontal-relative:page;mso-position-vertical-relative:page;z-index:251661312;mso-width-relative:page;mso-height-relative:page;" coordorigin="881,505" coordsize="11930,1179" o:gfxdata="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">
              <o:lock v:ext="edit" aspectratio="f"/>
              <v:rect id="矩形 2" o:spid="_x0000_s1026" o:spt="1" style="position:absolute;left:881;top:1538;height:146;width:11925;v-text-anchor:middle;" fillcolor="#FFD966" filled="t" stroked="f" coordsize="21600,21600" o:gfxdata="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ZSVQ5ugAAANsA&#10;AAAPAAAAAAAAAAEAIAAAACIAAABkcnMvZG93bnJldi54bWxQSwECFAAUAAAACACHTuJAMy8FnjsA&#10;AAA5AAAAEAAAAAAAAAABACAAAAAJAQAAZHJzL3NoYXBleG1sLnhtbFBLBQYAAAAABgAGAFsBAACz&#10;AwAAAAA=&#10;">
                <v:fill on="t" focussize="0,0"/>
                <v:stroke on="f"/>
                <v:imagedata o:title=""/>
                <o:lock v:ext="edit" aspectratio="f"/>
              </v:rect>
              <v:shape id="任意多边形 3" o:spid="_x0000_s1026" o:spt="100" style="position:absolute;left:10177;top:686;height:862;width:2619;v-text-anchor:middle;" fillcolor="#000000" filled="t" stroked="f" coordsize="2619,862" o:gfxdata="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GMiEy8AAAA&#10;2wAAAA8AAAAAAAAAAQAgAAAAIgAAAGRycy9kb3ducmV2LnhtbFBLAQIUABQAAAAIAIdO4kAzLwWe&#10;OwAAADkAAAAQAAAAAAAAAAEAIAAAAAsBAABkcnMvc2hhcGV4bWwueG1sUEsFBgAAAAAGAAYAWwEA&#10;ALUDAAAAAA==&#10;" path="m595,1l2619,0,2619,862,0,862,595,1xe">
                <v:fill on="t" focussize="0,0"/>
                <v:stroke on="f"/>
                <v:imagedata o:title=""/>
                <o:lock v:ext="edit" aspectratio="f"/>
              </v:shape>
              <v:shape id="任意多边形 4" o:spid="_x0000_s1026" o:spt="100" style="position:absolute;left:10467;top:505;height:1108;width:2345;v-text-anchor:middle;" fillcolor="#FFD966" filled="t" stroked="f" coordsize="2619,1265" o:gfxdata="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g59Yq8AAAA&#10;2wAAAA8AAAAAAAAAAQAgAAAAIgAAAGRycy9kb3ducmV2LnhtbFBLAQIUABQAAAAIAIdO4kAzLwWe&#10;OwAAADkAAAAQAAAAAAAAAAEAIAAAAAsBAABkcnMvc2hhcGV4bWwueG1sUEsFBgAAAAAGAAYAWwEA&#10;ALUDAAAAAA==&#10;" path="m668,0l2619,10,2619,1265,0,1265,668,0xe">
                <v:fill on="t" focussize="0,0"/>
                <v:stroke on="f"/>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g">
          <w:drawing>
            <wp:anchor distT="0" distB="0" distL="114300" distR="114300" simplePos="0" relativeHeight="251664384" behindDoc="0" locked="0" layoutInCell="1" allowOverlap="1">
              <wp:simplePos x="0" y="0"/>
              <wp:positionH relativeFrom="page">
                <wp:posOffset>28575</wp:posOffset>
              </wp:positionH>
              <wp:positionV relativeFrom="page">
                <wp:posOffset>600075</wp:posOffset>
              </wp:positionV>
              <wp:extent cx="2993390" cy="406400"/>
              <wp:effectExtent l="0" t="0" r="0" b="0"/>
              <wp:wrapNone/>
              <wp:docPr id="33" name="组合 135"/>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31" name="Quad Arrow 2088"/>
                      <wps:cNvSpPr txBox="1"/>
                      <wps:spPr>
                        <a:xfrm>
                          <a:off x="1401" y="880"/>
                          <a:ext cx="3087" cy="641"/>
                        </a:xfrm>
                        <a:prstGeom prst="rect">
                          <a:avLst/>
                        </a:prstGeom>
                        <a:noFill/>
                        <a:ln>
                          <a:noFill/>
                        </a:ln>
                      </wps:spPr>
                      <wps:txb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第二部分  部门决算情况说明</w:t>
                            </w:r>
                          </w:p>
                        </w:txbxContent>
                      </wps:txbx>
                      <wps:bodyPr upright="1"/>
                    </wps:wsp>
                    <wps:wsp>
                      <wps:cNvPr id="32" name="矩形 7"/>
                      <wps:cNvSpPr/>
                      <wps:spPr>
                        <a:xfrm>
                          <a:off x="1337" y="1044"/>
                          <a:ext cx="119" cy="330"/>
                        </a:xfrm>
                        <a:prstGeom prst="rect">
                          <a:avLst/>
                        </a:prstGeom>
                        <a:solidFill>
                          <a:srgbClr val="000000"/>
                        </a:solidFill>
                        <a:ln>
                          <a:noFill/>
                        </a:ln>
                      </wps:spPr>
                      <wps:bodyPr anchor="ctr" anchorCtr="0" upright="1"/>
                    </wps:wsp>
                  </wpg:wgp>
                </a:graphicData>
              </a:graphic>
            </wp:anchor>
          </w:drawing>
        </mc:Choice>
        <mc:Fallback>
          <w:pict>
            <v:group id="组合 135" o:spid="_x0000_s1026" o:spt="203" style="position:absolute;left:0pt;margin-left:2.25pt;margin-top:47.25pt;height:32pt;width:235.7pt;mso-position-horizontal-relative:page;mso-position-vertical-relative:page;z-index:251664384;mso-width-relative:page;mso-height-relative:page;" coordorigin="1337,880" coordsize="3150,640" o:gfxdata="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">
              <o:lock v:ext="edit" aspectratio="f"/>
              <v:shape id="Quad Arrow 2088" o:spid="_x0000_s1026" o:spt="202" type="#_x0000_t202" style="position:absolute;left:1401;top:880;height:641;width:3087;" filled="f" stroked="f" coordsize="21600,21600" o:gfxdata="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nSn8N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第二部分  部门决算情况说明</w:t>
                      </w:r>
                    </w:p>
                  </w:txbxContent>
                </v:textbox>
              </v:shape>
              <v:rect id="矩形 7" o:spid="_x0000_s1026" o:spt="1" style="position:absolute;left:1337;top:1044;height:330;width:119;v-text-anchor:middle;" fillcolor="#000000" filled="t" stroked="f" coordsize="21600,21600" o:gfxdata="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upxq7sAAADb&#10;AAAADwAAAAAAAAABACAAAAAiAAAAZHJzL2Rvd25yZXYueG1sUEsBAhQAFAAAAAgAh07iQDMvBZ47&#10;AAAAOQAAABAAAAAAAAAAAQAgAAAACgEAAGRycy9zaGFwZXhtbC54bWxQSwUGAAAAAAYABgBbAQAA&#10;tAMAAAAA&#10;">
                <v:fill on="t" focussize="0,0"/>
                <v:stroke on="f"/>
                <v:imagedata o:title=""/>
                <o:lock v:ext="edit" aspectratio="f"/>
              </v:rect>
            </v:group>
          </w:pict>
        </mc:Fallback>
      </mc:AlternateContent>
    </w:r>
    <w:r>
      <mc:AlternateContent>
        <mc:Choice Requires="wpg">
          <w:drawing>
            <wp:anchor distT="0" distB="0" distL="114300" distR="114300" simplePos="0" relativeHeight="251663360" behindDoc="0" locked="0" layoutInCell="1" allowOverlap="1">
              <wp:simplePos x="0" y="0"/>
              <wp:positionH relativeFrom="page">
                <wp:posOffset>34925</wp:posOffset>
              </wp:positionH>
              <wp:positionV relativeFrom="page">
                <wp:posOffset>596265</wp:posOffset>
              </wp:positionV>
              <wp:extent cx="7579995" cy="416560"/>
              <wp:effectExtent l="0" t="0" r="1905" b="2540"/>
              <wp:wrapNone/>
              <wp:docPr id="30" name="组合 138"/>
              <wp:cNvGraphicFramePr/>
              <a:graphic xmlns:a="http://schemas.openxmlformats.org/drawingml/2006/main">
                <a:graphicData uri="http://schemas.microsoft.com/office/word/2010/wordprocessingGroup">
                  <wpg:wgp>
                    <wpg:cNvGrpSpPr/>
                    <wpg:grpSpPr>
                      <a:xfrm>
                        <a:off x="0" y="0"/>
                        <a:ext cx="7579995" cy="416560"/>
                        <a:chOff x="881" y="505"/>
                        <a:chExt cx="11971" cy="1179"/>
                      </a:xfrm>
                    </wpg:grpSpPr>
                    <wps:wsp>
                      <wps:cNvPr id="27" name="矩形 2"/>
                      <wps:cNvSpPr/>
                      <wps:spPr>
                        <a:xfrm>
                          <a:off x="881" y="1538"/>
                          <a:ext cx="11925" cy="146"/>
                        </a:xfrm>
                        <a:prstGeom prst="rect">
                          <a:avLst/>
                        </a:prstGeom>
                        <a:solidFill>
                          <a:srgbClr val="FFD966"/>
                        </a:solidFill>
                        <a:ln>
                          <a:noFill/>
                        </a:ln>
                      </wps:spPr>
                      <wps:bodyPr anchor="ctr" anchorCtr="0" upright="1"/>
                    </wps:wsp>
                    <wps:wsp>
                      <wps:cNvPr id="28" name="任意多边形 3"/>
                      <wps:cNvSpPr/>
                      <wps:spPr>
                        <a:xfrm>
                          <a:off x="10177" y="686"/>
                          <a:ext cx="2619" cy="862"/>
                        </a:xfrm>
                        <a:custGeom>
                          <a:avLst/>
                          <a:gdLst/>
                          <a:ahLst/>
                          <a:cxnLst/>
                          <a:pathLst>
                            <a:path w="2619" h="862">
                              <a:moveTo>
                                <a:pt x="595" y="1"/>
                              </a:moveTo>
                              <a:lnTo>
                                <a:pt x="2619" y="0"/>
                              </a:lnTo>
                              <a:lnTo>
                                <a:pt x="2619" y="862"/>
                              </a:lnTo>
                              <a:lnTo>
                                <a:pt x="0" y="862"/>
                              </a:lnTo>
                              <a:lnTo>
                                <a:pt x="595" y="1"/>
                              </a:lnTo>
                              <a:close/>
                            </a:path>
                          </a:pathLst>
                        </a:custGeom>
                        <a:solidFill>
                          <a:srgbClr val="000000"/>
                        </a:solidFill>
                        <a:ln>
                          <a:noFill/>
                        </a:ln>
                      </wps:spPr>
                      <wps:bodyPr anchor="ctr" anchorCtr="0" upright="1"/>
                    </wps:wsp>
                    <wps:wsp>
                      <wps:cNvPr id="29" name="任意多边形 4"/>
                      <wps:cNvSpPr/>
                      <wps:spPr>
                        <a:xfrm>
                          <a:off x="10467" y="505"/>
                          <a:ext cx="2385" cy="1107"/>
                        </a:xfrm>
                        <a:custGeom>
                          <a:avLst/>
                          <a:gdLst/>
                          <a:ahLst/>
                          <a:cxnLst/>
                          <a:pathLst>
                            <a:path w="2619" h="1265">
                              <a:moveTo>
                                <a:pt x="668" y="0"/>
                              </a:moveTo>
                              <a:lnTo>
                                <a:pt x="2619" y="10"/>
                              </a:lnTo>
                              <a:lnTo>
                                <a:pt x="2619" y="1265"/>
                              </a:lnTo>
                              <a:lnTo>
                                <a:pt x="0" y="1265"/>
                              </a:lnTo>
                              <a:lnTo>
                                <a:pt x="668" y="0"/>
                              </a:lnTo>
                              <a:close/>
                            </a:path>
                          </a:pathLst>
                        </a:custGeom>
                        <a:solidFill>
                          <a:srgbClr val="FFD966"/>
                        </a:solidFill>
                        <a:ln>
                          <a:noFill/>
                        </a:ln>
                      </wps:spPr>
                      <wps:bodyPr anchor="ctr" anchorCtr="0" upright="1"/>
                    </wps:wsp>
                  </wpg:wgp>
                </a:graphicData>
              </a:graphic>
            </wp:anchor>
          </w:drawing>
        </mc:Choice>
        <mc:Fallback>
          <w:pict>
            <v:group id="组合 138" o:spid="_x0000_s1026" o:spt="203" style="position:absolute;left:0pt;margin-left:2.75pt;margin-top:46.95pt;height:32.8pt;width:596.85pt;mso-position-horizontal-relative:page;mso-position-vertical-relative:page;z-index:251663360;mso-width-relative:page;mso-height-relative:page;" coordorigin="881,505" coordsize="11971,1179" o:gfxdata="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">
              <o:lock v:ext="edit" aspectratio="f"/>
              <v:rect id="矩形 2" o:spid="_x0000_s1026" o:spt="1" style="position:absolute;left:881;top:1538;height:146;width:11925;v-text-anchor:middle;" fillcolor="#FFD966" filled="t" stroked="f" coordsize="21600,21600" o:gfxdata="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qDMTbsAAADb&#10;AAAADwAAAAAAAAABACAAAAAiAAAAZHJzL2Rvd25yZXYueG1sUEsBAhQAFAAAAAgAh07iQDMvBZ47&#10;AAAAOQAAABAAAAAAAAAAAQAgAAAACgEAAGRycy9zaGFwZXhtbC54bWxQSwUGAAAAAAYABgBbAQAA&#10;tAMAAAAA&#10;">
                <v:fill on="t" focussize="0,0"/>
                <v:stroke on="f"/>
                <v:imagedata o:title=""/>
                <o:lock v:ext="edit" aspectratio="f"/>
              </v:rect>
              <v:shape id="任意多边形 3" o:spid="_x0000_s1026" o:spt="100" style="position:absolute;left:10177;top:686;height:862;width:2619;v-text-anchor:middle;" fillcolor="#000000" filled="t" stroked="f" coordsize="2619,862" o:gfxdata="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wtiHRugAAANsA&#10;AAAPAAAAAAAAAAEAIAAAACIAAABkcnMvZG93bnJldi54bWxQSwECFAAUAAAACACHTuJAMy8FnjsA&#10;AAA5AAAAEAAAAAAAAAABACAAAAAJAQAAZHJzL3NoYXBleG1sLnhtbFBLBQYAAAAABgAGAFsBAACz&#10;AwAAAAA=&#10;" path="m595,1l2619,0,2619,862,0,862,595,1xe">
                <v:fill on="t" focussize="0,0"/>
                <v:stroke on="f"/>
                <v:imagedata o:title=""/>
                <o:lock v:ext="edit" aspectratio="f"/>
              </v:shape>
              <v:shape id="任意多边形 4" o:spid="_x0000_s1026" o:spt="100" style="position:absolute;left:10467;top:505;height:1107;width:2385;v-text-anchor:middle;" fillcolor="#FFD966" filled="t" stroked="f" coordsize="2619,1265" o:gfxdata="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GnWf7vQAA&#10;ANsAAAAPAAAAAAAAAAEAIAAAACIAAABkcnMvZG93bnJldi54bWxQSwECFAAUAAAACACHTuJAMy8F&#10;njsAAAA5AAAAEAAAAAAAAAABACAAAAAMAQAAZHJzL3NoYXBleG1sLnhtbFBLBQYAAAAABgAGAFsB&#10;AAC2AwAAAAA=&#10;" path="m668,0l2619,10,2619,1265,0,1265,668,0xe">
                <v:fill on="t" focussize="0,0"/>
                <v:stroke on="f"/>
                <v:imagedata o:title=""/>
                <o:lock v:ext="edit" aspectratio="f"/>
              </v:shape>
            </v:group>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g">
          <w:drawing>
            <wp:anchor distT="0" distB="0" distL="114300" distR="114300" simplePos="0" relativeHeight="251665408" behindDoc="0" locked="0" layoutInCell="1" allowOverlap="1">
              <wp:simplePos x="0" y="0"/>
              <wp:positionH relativeFrom="page">
                <wp:posOffset>0</wp:posOffset>
              </wp:positionH>
              <wp:positionV relativeFrom="page">
                <wp:posOffset>550545</wp:posOffset>
              </wp:positionV>
              <wp:extent cx="7553960" cy="480695"/>
              <wp:effectExtent l="0" t="0" r="8890" b="14605"/>
              <wp:wrapNone/>
              <wp:docPr id="37" name="组合 183"/>
              <wp:cNvGraphicFramePr/>
              <a:graphic xmlns:a="http://schemas.openxmlformats.org/drawingml/2006/main">
                <a:graphicData uri="http://schemas.microsoft.com/office/word/2010/wordprocessingGroup">
                  <wpg:wgp>
                    <wpg:cNvGrpSpPr/>
                    <wpg:grpSpPr>
                      <a:xfrm>
                        <a:off x="0" y="0"/>
                        <a:ext cx="7553960" cy="480695"/>
                        <a:chOff x="881" y="505"/>
                        <a:chExt cx="11930" cy="1179"/>
                      </a:xfrm>
                    </wpg:grpSpPr>
                    <wps:wsp>
                      <wps:cNvPr id="34" name="矩形 2"/>
                      <wps:cNvSpPr/>
                      <wps:spPr>
                        <a:xfrm>
                          <a:off x="881" y="1538"/>
                          <a:ext cx="11925" cy="146"/>
                        </a:xfrm>
                        <a:prstGeom prst="rect">
                          <a:avLst/>
                        </a:prstGeom>
                        <a:solidFill>
                          <a:srgbClr val="FFD966"/>
                        </a:solidFill>
                        <a:ln>
                          <a:noFill/>
                        </a:ln>
                      </wps:spPr>
                      <wps:bodyPr anchor="ctr" anchorCtr="0" upright="1"/>
                    </wps:wsp>
                    <wps:wsp>
                      <wps:cNvPr id="35" name="任意多边形 3"/>
                      <wps:cNvSpPr/>
                      <wps:spPr>
                        <a:xfrm>
                          <a:off x="10177" y="686"/>
                          <a:ext cx="2619" cy="862"/>
                        </a:xfrm>
                        <a:custGeom>
                          <a:avLst/>
                          <a:gdLst/>
                          <a:ahLst/>
                          <a:cxnLst/>
                          <a:pathLst>
                            <a:path w="2619" h="862">
                              <a:moveTo>
                                <a:pt x="595" y="1"/>
                              </a:moveTo>
                              <a:lnTo>
                                <a:pt x="2619" y="0"/>
                              </a:lnTo>
                              <a:lnTo>
                                <a:pt x="2619" y="862"/>
                              </a:lnTo>
                              <a:lnTo>
                                <a:pt x="0" y="862"/>
                              </a:lnTo>
                              <a:lnTo>
                                <a:pt x="595" y="1"/>
                              </a:lnTo>
                              <a:close/>
                            </a:path>
                          </a:pathLst>
                        </a:custGeom>
                        <a:solidFill>
                          <a:srgbClr val="000000"/>
                        </a:solidFill>
                        <a:ln>
                          <a:noFill/>
                        </a:ln>
                      </wps:spPr>
                      <wps:bodyPr anchor="ctr" anchorCtr="0" upright="1"/>
                    </wps:wsp>
                    <wps:wsp>
                      <wps:cNvPr id="36" name="任意多边形 4"/>
                      <wps:cNvSpPr/>
                      <wps:spPr>
                        <a:xfrm>
                          <a:off x="10467" y="505"/>
                          <a:ext cx="2345" cy="1108"/>
                        </a:xfrm>
                        <a:custGeom>
                          <a:avLst/>
                          <a:gdLst/>
                          <a:ahLst/>
                          <a:cxnLst/>
                          <a:pathLst>
                            <a:path w="2619" h="1265">
                              <a:moveTo>
                                <a:pt x="668" y="0"/>
                              </a:moveTo>
                              <a:lnTo>
                                <a:pt x="2619" y="10"/>
                              </a:lnTo>
                              <a:lnTo>
                                <a:pt x="2619" y="1265"/>
                              </a:lnTo>
                              <a:lnTo>
                                <a:pt x="0" y="1265"/>
                              </a:lnTo>
                              <a:lnTo>
                                <a:pt x="668" y="0"/>
                              </a:lnTo>
                              <a:close/>
                            </a:path>
                          </a:pathLst>
                        </a:custGeom>
                        <a:solidFill>
                          <a:srgbClr val="FFD966"/>
                        </a:solidFill>
                        <a:ln>
                          <a:noFill/>
                        </a:ln>
                      </wps:spPr>
                      <wps:bodyPr anchor="ctr" anchorCtr="0" upright="1"/>
                    </wps:wsp>
                  </wpg:wgp>
                </a:graphicData>
              </a:graphic>
            </wp:anchor>
          </w:drawing>
        </mc:Choice>
        <mc:Fallback>
          <w:pict>
            <v:group id="组合 183" o:spid="_x0000_s1026" o:spt="203" style="position:absolute;left:0pt;margin-left:0pt;margin-top:43.35pt;height:37.85pt;width:594.8pt;mso-position-horizontal-relative:page;mso-position-vertical-relative:page;z-index:251665408;mso-width-relative:page;mso-height-relative:page;" coordorigin="881,505" coordsize="11930,1179" o:gfxdata="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">
              <o:lock v:ext="edit" aspectratio="f"/>
              <v:rect id="矩形 2" o:spid="_x0000_s1026" o:spt="1" style="position:absolute;left:881;top:1538;height:146;width:11925;v-text-anchor:middle;" fillcolor="#FFD966" filled="t" stroked="f" coordsize="21600,21600" o:gfxdata="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jq8TnvQAA&#10;ANsAAAAPAAAAAAAAAAEAIAAAACIAAABkcnMvZG93bnJldi54bWxQSwECFAAUAAAACACHTuJAMy8F&#10;njsAAAA5AAAAEAAAAAAAAAABACAAAAAMAQAAZHJzL3NoYXBleG1sLnhtbFBLBQYAAAAABgAGAFsB&#10;AAC2AwAAAAA=&#10;">
                <v:fill on="t" focussize="0,0"/>
                <v:stroke on="f"/>
                <v:imagedata o:title=""/>
                <o:lock v:ext="edit" aspectratio="f"/>
              </v:rect>
              <v:shape id="任意多边形 3" o:spid="_x0000_s1026" o:spt="100" style="position:absolute;left:10177;top:686;height:862;width:2619;v-text-anchor:middle;" fillcolor="#000000" filled="t" stroked="f" coordsize="2619,862" o:gfxdata="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tuGJK8AAAA&#10;2wAAAA8AAAAAAAAAAQAgAAAAIgAAAGRycy9kb3ducmV2LnhtbFBLAQIUABQAAAAIAIdO4kAzLwWe&#10;OwAAADkAAAAQAAAAAAAAAAEAIAAAAAsBAABkcnMvc2hhcGV4bWwueG1sUEsFBgAAAAAGAAYAWwEA&#10;ALUDAAAAAA==&#10;" path="m595,1l2619,0,2619,862,0,862,595,1xe">
                <v:fill on="t" focussize="0,0"/>
                <v:stroke on="f"/>
                <v:imagedata o:title=""/>
                <o:lock v:ext="edit" aspectratio="f"/>
              </v:shape>
              <v:shape id="任意多边形 4" o:spid="_x0000_s1026" o:spt="100" style="position:absolute;left:10467;top:505;height:1108;width:2345;v-text-anchor:middle;" fillcolor="#FFD966" filled="t" stroked="f" coordsize="2619,1265" o:gfxdata="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LbZVS8AAAA&#10;2wAAAA8AAAAAAAAAAQAgAAAAIgAAAGRycy9kb3ducmV2LnhtbFBLAQIUABQAAAAIAIdO4kAzLwWe&#10;OwAAADkAAAAQAAAAAAAAAAEAIAAAAAsBAABkcnMvc2hhcGV4bWwueG1sUEsFBgAAAAAGAAYAWwEA&#10;ALUDAAAAAA==&#10;" path="m668,0l2619,10,2619,1265,0,1265,668,0xe">
                <v:fill on="t" focussize="0,0"/>
                <v:stroke on="f"/>
                <v:imagedata o:title=""/>
                <o:lock v:ext="edit" aspectratio="f"/>
              </v:shape>
            </v:group>
          </w:pict>
        </mc:Fallback>
      </mc:AlternateContent>
    </w:r>
    <w:r>
      <mc:AlternateContent>
        <mc:Choice Requires="wpg">
          <w:drawing>
            <wp:anchor distT="0" distB="0" distL="114300" distR="114300" simplePos="0" relativeHeight="251666432" behindDoc="0" locked="0" layoutInCell="1" allowOverlap="1">
              <wp:simplePos x="0" y="0"/>
              <wp:positionH relativeFrom="page">
                <wp:posOffset>-27305</wp:posOffset>
              </wp:positionH>
              <wp:positionV relativeFrom="page">
                <wp:posOffset>598805</wp:posOffset>
              </wp:positionV>
              <wp:extent cx="2993390" cy="406400"/>
              <wp:effectExtent l="0" t="0" r="0" b="0"/>
              <wp:wrapNone/>
              <wp:docPr id="40" name="组合 180"/>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38" name="Quad Arrow 2077"/>
                      <wps:cNvSpPr txBox="1"/>
                      <wps:spPr>
                        <a:xfrm>
                          <a:off x="1401" y="880"/>
                          <a:ext cx="3087" cy="641"/>
                        </a:xfrm>
                        <a:prstGeom prst="rect">
                          <a:avLst/>
                        </a:prstGeom>
                        <a:noFill/>
                        <a:ln>
                          <a:noFill/>
                        </a:ln>
                      </wps:spPr>
                      <wps:txb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wps:txbx>
                      <wps:bodyPr upright="1"/>
                    </wps:wsp>
                    <wps:wsp>
                      <wps:cNvPr id="39" name="矩形 7"/>
                      <wps:cNvSpPr/>
                      <wps:spPr>
                        <a:xfrm>
                          <a:off x="1337" y="1044"/>
                          <a:ext cx="119" cy="330"/>
                        </a:xfrm>
                        <a:prstGeom prst="rect">
                          <a:avLst/>
                        </a:prstGeom>
                        <a:solidFill>
                          <a:srgbClr val="000000"/>
                        </a:solidFill>
                        <a:ln>
                          <a:noFill/>
                        </a:ln>
                      </wps:spPr>
                      <wps:bodyPr anchor="ctr" anchorCtr="0" upright="1"/>
                    </wps:wsp>
                  </wpg:wgp>
                </a:graphicData>
              </a:graphic>
            </wp:anchor>
          </w:drawing>
        </mc:Choice>
        <mc:Fallback>
          <w:pict>
            <v:group id="组合 180" o:spid="_x0000_s1026" o:spt="203" style="position:absolute;left:0pt;margin-left:-2.15pt;margin-top:47.15pt;height:32pt;width:235.7pt;mso-position-horizontal-relative:page;mso-position-vertical-relative:page;z-index:251666432;mso-width-relative:page;mso-height-relative:page;" coordorigin="1337,880" coordsize="3150,640"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0UuIkdkAAAAJAQAADwAAAAAAAAABACAA&#10;AAAiAAAAZHJzL2Rvd25yZXYueG1sUEsBAhQAFAAAAAgAh07iQLJb8mt+AgAAHwYAAA4AAAAAAAAA&#10;AQAgAAAAKAEAAGRycy9lMm9Eb2MueG1sUEsFBgAAAAAGAAYAWQEAABgGAAAAAA==&#10;">
              <o:lock v:ext="edit" aspectratio="f"/>
              <v:shape id="Quad Arrow 2077" o:spid="_x0000_s1026" o:spt="202" type="#_x0000_t202" style="position:absolute;left:1401;top:880;height:641;width:3087;" filled="f" stroked="f" coordsize="21600,21600" o:gfxdata="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Zw1pC5AAAA2wAA&#10;AA8AAAAAAAAAAQAgAAAAIgAAAGRycy9kb3ducmV2LnhtbFBLAQIUABQAAAAIAIdO4kAzLwWeOwAA&#10;ADkAAAAQAAAAAAAAAAEAIAAAAAgBAABkcnMvc2hhcGV4bWwueG1sUEsFBgAAAAAGAAYAWwEAALID&#10;AAAAAA==&#10;">
                <v:fill on="f" focussize="0,0"/>
                <v:stroke on="f"/>
                <v:imagedata o:title=""/>
                <o:lock v:ext="edit" aspectratio="f"/>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v:textbox>
              </v:shape>
              <v:rect id="矩形 7" o:spid="_x0000_s1026" o:spt="1" style="position:absolute;left:1337;top:1044;height:330;width:119;v-text-anchor:middle;" fillcolor="#000000" filled="t" stroked="f" coordsize="21600,21600" o:gfxdata="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BO49q8AAAA&#10;2wAAAA8AAAAAAAAAAQAgAAAAIgAAAGRycy9kb3ducmV2LnhtbFBLAQIUABQAAAAIAIdO4kAzLwWe&#10;OwAAADkAAAAQAAAAAAAAAAEAIAAAAAsBAABkcnMvc2hhcGV4bWwueG1sUEsFBgAAAAAGAAYAWwEA&#10;ALUDAAAAAA==&#10;">
                <v:fill on="t" focussize="0,0"/>
                <v:stroke on="f"/>
                <v:imagedata o:title=""/>
                <o:lock v:ext="edit" aspectratio="f"/>
              </v:rect>
            </v:group>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g">
          <w:drawing>
            <wp:anchor distT="0" distB="0" distL="114300" distR="114300" simplePos="0" relativeHeight="251668480" behindDoc="0" locked="0" layoutInCell="1" allowOverlap="1">
              <wp:simplePos x="0" y="0"/>
              <wp:positionH relativeFrom="page">
                <wp:align>left</wp:align>
              </wp:positionH>
              <wp:positionV relativeFrom="page">
                <wp:posOffset>377825</wp:posOffset>
              </wp:positionV>
              <wp:extent cx="2000250" cy="406400"/>
              <wp:effectExtent l="0" t="0" r="0" b="0"/>
              <wp:wrapNone/>
              <wp:docPr id="47" name="组合 189"/>
              <wp:cNvGraphicFramePr/>
              <a:graphic xmlns:a="http://schemas.openxmlformats.org/drawingml/2006/main">
                <a:graphicData uri="http://schemas.microsoft.com/office/word/2010/wordprocessingGroup">
                  <wpg:wgp>
                    <wpg:cNvGrpSpPr/>
                    <wpg:grpSpPr>
                      <a:xfrm>
                        <a:off x="0" y="0"/>
                        <a:ext cx="2000250" cy="406400"/>
                        <a:chOff x="1337" y="880"/>
                        <a:chExt cx="3150" cy="640"/>
                      </a:xfrm>
                    </wpg:grpSpPr>
                    <wps:wsp>
                      <wps:cNvPr id="45" name="Quad Arrow 2073"/>
                      <wps:cNvSpPr txBox="1"/>
                      <wps:spPr>
                        <a:xfrm>
                          <a:off x="1401" y="880"/>
                          <a:ext cx="3087" cy="641"/>
                        </a:xfrm>
                        <a:prstGeom prst="rect">
                          <a:avLst/>
                        </a:prstGeom>
                        <a:noFill/>
                        <a:ln>
                          <a:noFill/>
                        </a:ln>
                      </wps:spPr>
                      <wps:txb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wps:txbx>
                      <wps:bodyPr upright="1"/>
                    </wps:wsp>
                    <wps:wsp>
                      <wps:cNvPr id="46" name="矩形 7"/>
                      <wps:cNvSpPr/>
                      <wps:spPr>
                        <a:xfrm>
                          <a:off x="1337" y="1044"/>
                          <a:ext cx="119" cy="330"/>
                        </a:xfrm>
                        <a:prstGeom prst="rect">
                          <a:avLst/>
                        </a:prstGeom>
                        <a:solidFill>
                          <a:srgbClr val="000000"/>
                        </a:solidFill>
                        <a:ln>
                          <a:noFill/>
                        </a:ln>
                      </wps:spPr>
                      <wps:bodyPr anchor="ctr" anchorCtr="0" upright="1"/>
                    </wps:wsp>
                  </wpg:wgp>
                </a:graphicData>
              </a:graphic>
            </wp:anchor>
          </w:drawing>
        </mc:Choice>
        <mc:Fallback>
          <w:pict>
            <v:group id="组合 189" o:spid="_x0000_s1026" o:spt="203" style="position:absolute;left:0pt;margin-top:29.75pt;height:32pt;width:157.5pt;mso-position-horizontal:left;mso-position-horizontal-relative:page;mso-position-vertical-relative:page;z-index:251668480;mso-width-relative:page;mso-height-relative:page;" coordorigin="1337,880" coordsize="3150,640"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7Mb3udcAAAAHAQAADwAAAAAAAAABACAA&#10;AAAiAAAAZHJzL2Rvd25yZXYueG1sUEsBAhQAFAAAAAgAh07iQE8iDXiAAgAAHwYAAA4AAAAAAAAA&#10;AQAgAAAAJgEAAGRycy9lMm9Eb2MueG1sUEsFBgAAAAAGAAYAWQEAABgGAAAAAA==&#10;">
              <o:lock v:ext="edit" aspectratio="f"/>
              <v:shape id="Quad Arrow 2073" o:spid="_x0000_s1026" o:spt="202" type="#_x0000_t202" style="position:absolute;left:1401;top:880;height:641;width:3087;" filled="f" stroked="f" coordsize="21600,21600" o:gfxdata="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dwpz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1026" o:spt="1" style="position:absolute;left:1337;top:1044;height:330;width:119;v-text-anchor:middle;" fillcolor="#000000" filled="t" stroked="f" coordsize="21600,21600" o:gfxdata="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p1wTVugAAANsA&#10;AAAPAAAAAAAAAAEAIAAAACIAAABkcnMvZG93bnJldi54bWxQSwECFAAUAAAACACHTuJAMy8FnjsA&#10;AAA5AAAAEAAAAAAAAAABACAAAAAJAQAAZHJzL3NoYXBleG1sLnhtbFBLBQYAAAAABgAGAFsBAACz&#10;AwAAAAA=&#10;">
                <v:fill on="t" focussize="0,0"/>
                <v:stroke on="f"/>
                <v:imagedata o:title=""/>
                <o:lock v:ext="edit" aspectratio="f"/>
              </v:rect>
            </v:group>
          </w:pict>
        </mc:Fallback>
      </mc:AlternateContent>
    </w:r>
    <w:r>
      <mc:AlternateContent>
        <mc:Choice Requires="wpg">
          <w:drawing>
            <wp:anchor distT="0" distB="0" distL="114300" distR="114300" simplePos="0" relativeHeight="251667456" behindDoc="0" locked="0" layoutInCell="1" allowOverlap="1">
              <wp:simplePos x="0" y="0"/>
              <wp:positionH relativeFrom="page">
                <wp:align>center</wp:align>
              </wp:positionH>
              <wp:positionV relativeFrom="page">
                <wp:posOffset>547370</wp:posOffset>
              </wp:positionV>
              <wp:extent cx="7560310" cy="748665"/>
              <wp:effectExtent l="0" t="0" r="2540" b="13335"/>
              <wp:wrapNone/>
              <wp:docPr id="44" name="组合 192"/>
              <wp:cNvGraphicFramePr/>
              <a:graphic xmlns:a="http://schemas.openxmlformats.org/drawingml/2006/main">
                <a:graphicData uri="http://schemas.microsoft.com/office/word/2010/wordprocessingGroup">
                  <wpg:wgp>
                    <wpg:cNvGrpSpPr/>
                    <wpg:grpSpPr>
                      <a:xfrm>
                        <a:off x="0" y="0"/>
                        <a:ext cx="7560310" cy="748665"/>
                        <a:chOff x="881" y="505"/>
                        <a:chExt cx="11930" cy="1179"/>
                      </a:xfrm>
                    </wpg:grpSpPr>
                    <wps:wsp>
                      <wps:cNvPr id="41" name="矩形 2"/>
                      <wps:cNvSpPr/>
                      <wps:spPr>
                        <a:xfrm>
                          <a:off x="881" y="1538"/>
                          <a:ext cx="11925" cy="146"/>
                        </a:xfrm>
                        <a:prstGeom prst="rect">
                          <a:avLst/>
                        </a:prstGeom>
                        <a:solidFill>
                          <a:srgbClr val="FFD966"/>
                        </a:solidFill>
                        <a:ln>
                          <a:noFill/>
                        </a:ln>
                      </wps:spPr>
                      <wps:bodyPr anchor="ctr" anchorCtr="0" upright="1"/>
                    </wps:wsp>
                    <wps:wsp>
                      <wps:cNvPr id="42" name="任意多边形 3"/>
                      <wps:cNvSpPr/>
                      <wps:spPr>
                        <a:xfrm>
                          <a:off x="10177" y="686"/>
                          <a:ext cx="2619" cy="862"/>
                        </a:xfrm>
                        <a:custGeom>
                          <a:avLst/>
                          <a:gdLst/>
                          <a:ahLst/>
                          <a:cxnLst/>
                          <a:pathLst>
                            <a:path w="2619" h="862">
                              <a:moveTo>
                                <a:pt x="595" y="1"/>
                              </a:moveTo>
                              <a:lnTo>
                                <a:pt x="2619" y="0"/>
                              </a:lnTo>
                              <a:lnTo>
                                <a:pt x="2619" y="862"/>
                              </a:lnTo>
                              <a:lnTo>
                                <a:pt x="0" y="862"/>
                              </a:lnTo>
                              <a:lnTo>
                                <a:pt x="595" y="1"/>
                              </a:lnTo>
                              <a:close/>
                            </a:path>
                          </a:pathLst>
                        </a:custGeom>
                        <a:solidFill>
                          <a:srgbClr val="000000"/>
                        </a:solidFill>
                        <a:ln>
                          <a:noFill/>
                        </a:ln>
                      </wps:spPr>
                      <wps:bodyPr anchor="ctr" anchorCtr="0" upright="1"/>
                    </wps:wsp>
                    <wps:wsp>
                      <wps:cNvPr id="43" name="任意多边形 4"/>
                      <wps:cNvSpPr/>
                      <wps:spPr>
                        <a:xfrm>
                          <a:off x="10467" y="505"/>
                          <a:ext cx="2345" cy="1108"/>
                        </a:xfrm>
                        <a:custGeom>
                          <a:avLst/>
                          <a:gdLst/>
                          <a:ahLst/>
                          <a:cxnLst/>
                          <a:pathLst>
                            <a:path w="2619" h="1265">
                              <a:moveTo>
                                <a:pt x="668" y="0"/>
                              </a:moveTo>
                              <a:lnTo>
                                <a:pt x="2619" y="10"/>
                              </a:lnTo>
                              <a:lnTo>
                                <a:pt x="2619" y="1265"/>
                              </a:lnTo>
                              <a:lnTo>
                                <a:pt x="0" y="1265"/>
                              </a:lnTo>
                              <a:lnTo>
                                <a:pt x="668" y="0"/>
                              </a:lnTo>
                              <a:close/>
                            </a:path>
                          </a:pathLst>
                        </a:custGeom>
                        <a:solidFill>
                          <a:srgbClr val="FFD966"/>
                        </a:solidFill>
                        <a:ln>
                          <a:noFill/>
                        </a:ln>
                      </wps:spPr>
                      <wps:bodyPr anchor="ctr" anchorCtr="0" upright="1"/>
                    </wps:wsp>
                  </wpg:wgp>
                </a:graphicData>
              </a:graphic>
            </wp:anchor>
          </w:drawing>
        </mc:Choice>
        <mc:Fallback>
          <w:pict>
            <v:group id="组合 192" o:spid="_x0000_s1026" o:spt="203" style="position:absolute;left:0pt;margin-top:43.1pt;height:58.95pt;width:595.3pt;mso-position-horizontal:center;mso-position-horizontal-relative:page;mso-position-vertical-relative:page;z-index:251667456;mso-width-relative:page;mso-height-relative:page;" coordorigin="881,505" coordsize="11930,1179" o:gfxdata="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">
              <o:lock v:ext="edit" aspectratio="f"/>
              <v:rect id="矩形 2" o:spid="_x0000_s1026" o:spt="1" style="position:absolute;left:881;top:1538;height:146;width:11925;v-text-anchor:middle;" fillcolor="#FFD966" filled="t" stroked="f" coordsize="21600,21600" o:gfxdata="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vaFAK8AAAA&#10;2wAAAA8AAAAAAAAAAQAgAAAAIgAAAGRycy9kb3ducmV2LnhtbFBLAQIUABQAAAAIAIdO4kAzLwWe&#10;OwAAADkAAAAQAAAAAAAAAAEAIAAAAAsBAABkcnMvc2hhcGV4bWwueG1sUEsFBgAAAAAGAAYAWwEA&#10;ALUDAAAAAA==&#10;">
                <v:fill on="t" focussize="0,0"/>
                <v:stroke on="f"/>
                <v:imagedata o:title=""/>
                <o:lock v:ext="edit" aspectratio="f"/>
              </v:rect>
              <v:shape id="任意多边形 3" o:spid="_x0000_s1026" o:spt="100" style="position:absolute;left:10177;top:686;height:862;width:2619;v-text-anchor:middle;" fillcolor="#000000" filled="t" stroked="f" coordsize="2619,862" o:gfxdata="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yB85u8AAAA&#10;2wAAAA8AAAAAAAAAAQAgAAAAIgAAAGRycy9kb3ducmV2LnhtbFBLAQIUABQAAAAIAIdO4kAzLwWe&#10;OwAAADkAAAAQAAAAAAAAAAEAIAAAAAsBAABkcnMvc2hhcGV4bWwueG1sUEsFBgAAAAAGAAYAWwEA&#10;ALUDAAAAAA==&#10;" path="m595,1l2619,0,2619,862,0,862,595,1xe">
                <v:fill on="t" focussize="0,0"/>
                <v:stroke on="f"/>
                <v:imagedata o:title=""/>
                <o:lock v:ext="edit" aspectratio="f"/>
              </v:shape>
              <v:shape id="任意多边形 4" o:spid="_x0000_s1026" o:spt="100" style="position:absolute;left:10467;top:505;height:1108;width:2345;v-text-anchor:middle;" fillcolor="#FFD966" filled="t" stroked="f" coordsize="2619,1265" o:gfxdata="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qqtbG8AAAA&#10;2wAAAA8AAAAAAAAAAQAgAAAAIgAAAGRycy9kb3ducmV2LnhtbFBLAQIUABQAAAAIAIdO4kAzLwWe&#10;OwAAADkAAAAQAAAAAAAAAAEAIAAAAAsBAABkcnMvc2hhcGV4bWwueG1sUEsFBgAAAAAGAAYAWwEA&#10;ALUDAAAAAA==&#10;" path="m668,0l2619,10,2619,1265,0,1265,668,0xe">
                <v:fill on="t" focussize="0,0"/>
                <v:stroke on="f"/>
                <v:imagedata o:title=""/>
                <o:lock v:ext="edit" aspectratio="f"/>
              </v:shape>
            </v:group>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1" locked="0" layoutInCell="1" allowOverlap="1">
              <wp:simplePos x="0" y="0"/>
              <wp:positionH relativeFrom="column">
                <wp:posOffset>-922655</wp:posOffset>
              </wp:positionH>
              <wp:positionV relativeFrom="page">
                <wp:posOffset>847725</wp:posOffset>
              </wp:positionV>
              <wp:extent cx="2933065" cy="407035"/>
              <wp:effectExtent l="0" t="0" r="0" b="0"/>
              <wp:wrapNone/>
              <wp:docPr id="18" name="文本框 6"/>
              <wp:cNvGraphicFramePr/>
              <a:graphic xmlns:a="http://schemas.openxmlformats.org/drawingml/2006/main">
                <a:graphicData uri="http://schemas.microsoft.com/office/word/2010/wordprocessingShape">
                  <wps:wsp>
                    <wps:cNvSpPr txBox="1"/>
                    <wps:spPr>
                      <a:xfrm>
                        <a:off x="0" y="0"/>
                        <a:ext cx="2933065" cy="407035"/>
                      </a:xfrm>
                      <a:prstGeom prst="rect">
                        <a:avLst/>
                      </a:prstGeom>
                      <a:noFill/>
                      <a:ln>
                        <a:noFill/>
                      </a:ln>
                    </wps:spPr>
                    <wps:txb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相关名词解释</w:t>
                          </w:r>
                        </w:p>
                      </w:txbxContent>
                    </wps:txbx>
                    <wps:bodyPr upright="1"/>
                  </wps:wsp>
                </a:graphicData>
              </a:graphic>
            </wp:anchor>
          </w:drawing>
        </mc:Choice>
        <mc:Fallback>
          <w:pict>
            <v:shape id="文本框 6" o:spid="_x0000_s1026" o:spt="202" type="#_x0000_t202" style="position:absolute;left:0pt;margin-left:-72.65pt;margin-top:66.75pt;height:32.05pt;width:230.95pt;mso-position-vertical-relative:page;z-index:-251657216;mso-width-relative:page;mso-height-relative:page;" filled="f" stroked="f" coordsize="21600,21600" o:gfxdata="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sBywNgA&#10;AAAMAQAADwAAAAAAAAABACAAAAAiAAAAZHJzL2Rvd25yZXYueG1sUEsBAhQAFAAAAAgAh07iQAVq&#10;UTetAQAATwMAAA4AAAAAAAAAAQAgAAAAJwEAAGRycy9lMm9Eb2MueG1sUEsFBgAAAAAGAAYAWQEA&#10;AEYFAAAAAA==&#10;">
              <v:fill on="f" focussize="0,0"/>
              <v:stroke on="f"/>
              <v:imagedata o:title=""/>
              <o:lock v:ext="edit" aspectratio="f"/>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相关名词解释</w:t>
                    </w:r>
                  </w:p>
                </w:txbxContent>
              </v:textbox>
            </v:shape>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60288" behindDoc="1" locked="0" layoutInCell="1" allowOverlap="1">
              <wp:simplePos x="0" y="0"/>
              <wp:positionH relativeFrom="column">
                <wp:posOffset>1270</wp:posOffset>
              </wp:positionH>
              <wp:positionV relativeFrom="page">
                <wp:posOffset>542925</wp:posOffset>
              </wp:positionV>
              <wp:extent cx="2933065" cy="407035"/>
              <wp:effectExtent l="0" t="0" r="0" b="0"/>
              <wp:wrapNone/>
              <wp:docPr id="19" name="Quad Arrow 2064"/>
              <wp:cNvGraphicFramePr/>
              <a:graphic xmlns:a="http://schemas.openxmlformats.org/drawingml/2006/main">
                <a:graphicData uri="http://schemas.microsoft.com/office/word/2010/wordprocessingShape">
                  <wps:wsp>
                    <wps:cNvSpPr txBox="1"/>
                    <wps:spPr>
                      <a:xfrm>
                        <a:off x="0" y="0"/>
                        <a:ext cx="2933065" cy="407035"/>
                      </a:xfrm>
                      <a:prstGeom prst="rect">
                        <a:avLst/>
                      </a:prstGeom>
                      <a:noFill/>
                      <a:ln>
                        <a:noFill/>
                      </a:ln>
                    </wps:spPr>
                    <wps:txbx>
                      <w:txbxContent>
                        <w:p>
                          <w:pPr>
                            <w:rPr>
                              <w:rFonts w:ascii="微软雅黑" w:hAnsi="微软雅黑" w:eastAsia="微软雅黑" w:cs="微软雅黑"/>
                              <w:b/>
                              <w:bCs/>
                              <w:sz w:val="32"/>
                              <w:szCs w:val="40"/>
                            </w:rPr>
                          </w:pPr>
                        </w:p>
                      </w:txbxContent>
                    </wps:txbx>
                    <wps:bodyPr upright="1"/>
                  </wps:wsp>
                </a:graphicData>
              </a:graphic>
            </wp:anchor>
          </w:drawing>
        </mc:Choice>
        <mc:Fallback>
          <w:pict>
            <v:shape id="Quad Arrow 2064" o:spid="_x0000_s1026" o:spt="202" type="#_x0000_t202" style="position:absolute;left:0pt;margin-left:0.1pt;margin-top:42.75pt;height:32.05pt;width:230.95pt;mso-position-vertical-relative:page;z-index:-251656192;mso-width-relative:page;mso-height-relative:page;" filled="f" stroked="f" coordsize="21600,21600" o:gfxdata="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B9GIZD1AAAAAcBAAAPAAAAAAAA&#10;AAEAIAAAACIAAABkcnMvZG93bnJldi54bWxQSwECFAAUAAAACACHTuJATDuoz6QBAABTAwAADgAA&#10;AAAAAAABACAAAAAjAQAAZHJzL2Uyb0RvYy54bWxQSwUGAAAAAAYABgBZAQAAOQUAAAAA&#10;">
              <v:fill on="f" focussize="0,0"/>
              <v:stroke on="f"/>
              <v:imagedata o:title=""/>
              <o:lock v:ext="edit" aspectratio="f"/>
              <v:textbox>
                <w:txbxContent>
                  <w:p>
                    <w:pPr>
                      <w:rPr>
                        <w:rFonts w:ascii="微软雅黑" w:hAnsi="微软雅黑" w:eastAsia="微软雅黑" w:cs="微软雅黑"/>
                        <w:b/>
                        <w:bCs/>
                        <w:sz w:val="32"/>
                        <w:szCs w:val="40"/>
                      </w:rPr>
                    </w:pPr>
                  </w:p>
                </w:txbxContent>
              </v:textbox>
            </v:shape>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g">
          <w:drawing>
            <wp:anchor distT="0" distB="0" distL="114300" distR="114300" simplePos="0" relativeHeight="251674624" behindDoc="0" locked="0" layoutInCell="1" allowOverlap="1">
              <wp:simplePos x="0" y="0"/>
              <wp:positionH relativeFrom="page">
                <wp:posOffset>31750</wp:posOffset>
              </wp:positionH>
              <wp:positionV relativeFrom="page">
                <wp:posOffset>365125</wp:posOffset>
              </wp:positionV>
              <wp:extent cx="7553960" cy="447675"/>
              <wp:effectExtent l="0" t="0" r="0" b="0"/>
              <wp:wrapNone/>
              <wp:docPr id="61" name="Group 2060"/>
              <wp:cNvGraphicFramePr/>
              <a:graphic xmlns:a="http://schemas.openxmlformats.org/drawingml/2006/main">
                <a:graphicData uri="http://schemas.microsoft.com/office/word/2010/wordprocessingGroup">
                  <wpg:wgp>
                    <wpg:cNvGrpSpPr/>
                    <wpg:grpSpPr>
                      <a:xfrm>
                        <a:off x="0" y="0"/>
                        <a:ext cx="7553960" cy="447675"/>
                        <a:chOff x="881" y="505"/>
                        <a:chExt cx="11930" cy="1179203"/>
                      </a:xfrm>
                    </wpg:grpSpPr>
                    <wps:wsp>
                      <wps:cNvPr id="58" name="矩形 2"/>
                      <wps:cNvSpPr/>
                      <wps:spPr>
                        <a:xfrm>
                          <a:off x="881" y="1538"/>
                          <a:ext cx="11925" cy="146"/>
                        </a:xfrm>
                        <a:prstGeom prst="rect">
                          <a:avLst/>
                        </a:prstGeom>
                        <a:solidFill>
                          <a:srgbClr val="FFD966"/>
                        </a:solidFill>
                        <a:ln>
                          <a:noFill/>
                        </a:ln>
                      </wps:spPr>
                      <wps:bodyPr anchor="ctr" anchorCtr="0" upright="1"/>
                    </wps:wsp>
                    <wps:wsp>
                      <wps:cNvPr id="59" name="任意多边形 3"/>
                      <wps:cNvSpPr/>
                      <wps:spPr>
                        <a:xfrm>
                          <a:off x="10177" y="686"/>
                          <a:ext cx="2619" cy="862"/>
                        </a:xfrm>
                        <a:custGeom>
                          <a:avLst/>
                          <a:gdLst>
                            <a:gd name="A1" fmla="val 0"/>
                            <a:gd name="A2" fmla="val 0"/>
                            <a:gd name="A3" fmla="val 0"/>
                          </a:gdLst>
                          <a:ahLst/>
                          <a:cxnLst/>
                          <a:pathLst>
                            <a:path w="2619" h="862">
                              <a:moveTo>
                                <a:pt x="595" y="1"/>
                              </a:moveTo>
                              <a:lnTo>
                                <a:pt x="2619" y="0"/>
                              </a:lnTo>
                              <a:lnTo>
                                <a:pt x="2619" y="862"/>
                              </a:lnTo>
                              <a:lnTo>
                                <a:pt x="0" y="862"/>
                              </a:lnTo>
                              <a:lnTo>
                                <a:pt x="595" y="1"/>
                              </a:lnTo>
                              <a:close/>
                            </a:path>
                          </a:pathLst>
                        </a:custGeom>
                        <a:solidFill>
                          <a:srgbClr val="000000"/>
                        </a:solidFill>
                        <a:ln>
                          <a:noFill/>
                        </a:ln>
                      </wps:spPr>
                      <wps:bodyPr anchor="ctr" anchorCtr="0" upright="1"/>
                    </wps:wsp>
                    <wps:wsp>
                      <wps:cNvPr id="60" name="任意多边形 4"/>
                      <wps:cNvSpPr/>
                      <wps:spPr>
                        <a:xfrm>
                          <a:off x="10467" y="505"/>
                          <a:ext cx="2345" cy="1108"/>
                        </a:xfrm>
                        <a:custGeom>
                          <a:avLst/>
                          <a:gdLst>
                            <a:gd name="A1" fmla="val 0"/>
                            <a:gd name="A2" fmla="val 0"/>
                            <a:gd name="A3" fmla="val 0"/>
                          </a:gdLst>
                          <a:ahLst/>
                          <a:cxnLst/>
                          <a:pathLst>
                            <a:path w="2619" h="1265">
                              <a:moveTo>
                                <a:pt x="668" y="0"/>
                              </a:moveTo>
                              <a:lnTo>
                                <a:pt x="2619" y="10"/>
                              </a:lnTo>
                              <a:lnTo>
                                <a:pt x="2619" y="1265"/>
                              </a:lnTo>
                              <a:lnTo>
                                <a:pt x="0" y="1265"/>
                              </a:lnTo>
                              <a:lnTo>
                                <a:pt x="668" y="0"/>
                              </a:lnTo>
                              <a:close/>
                            </a:path>
                          </a:pathLst>
                        </a:custGeom>
                        <a:solidFill>
                          <a:srgbClr val="FFD966"/>
                        </a:solidFill>
                        <a:ln>
                          <a:noFill/>
                        </a:ln>
                      </wps:spPr>
                      <wps:bodyPr anchor="ctr" anchorCtr="0" upright="1"/>
                    </wps:wsp>
                  </wpg:wgp>
                </a:graphicData>
              </a:graphic>
            </wp:anchor>
          </w:drawing>
        </mc:Choice>
        <mc:Fallback>
          <w:pict>
            <v:group id="Group 2060" o:spid="_x0000_s1026" o:spt="203" style="position:absolute;left:0pt;margin-left:2.5pt;margin-top:28.75pt;height:35.25pt;width:594.8pt;mso-position-horizontal-relative:page;mso-position-vertical-relative:page;z-index:251674624;mso-width-relative:page;mso-height-relative:page;" coordorigin="881,505" coordsize="11930,1179203" o:gfxdata="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">
              <o:lock v:ext="edit" aspectratio="f"/>
              <v:rect id="矩形 2" o:spid="_x0000_s1026" o:spt="1" style="position:absolute;left:881;top:1538;height:146;width:11925;v-text-anchor:middle;" fillcolor="#FFD966" filled="t" stroked="f" coordsize="21600,21600" o:gfxdata="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OStCugAAANsA&#10;AAAPAAAAAAAAAAEAIAAAACIAAABkcnMvZG93bnJldi54bWxQSwECFAAUAAAACACHTuJAMy8FnjsA&#10;AAA5AAAAEAAAAAAAAAABACAAAAAJAQAAZHJzL3NoYXBleG1sLnhtbFBLBQYAAAAABgAGAFsBAACz&#10;AwAAAAA=&#10;">
                <v:fill on="t" focussize="0,0"/>
                <v:stroke on="f"/>
                <v:imagedata o:title=""/>
                <o:lock v:ext="edit" aspectratio="f"/>
              </v:rect>
              <v:shape id="任意多边形 3" o:spid="_x0000_s1026" o:spt="100" style="position:absolute;left:10177;top:686;height:862;width:2619;v-text-anchor:middle;" fillcolor="#000000" filled="t" stroked="f" coordsize="2619,862" o:gfxdata="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f89ze8AAAA&#10;2wAAAA8AAAAAAAAAAQAgAAAAIgAAAGRycy9kb3ducmV2LnhtbFBLAQIUABQAAAAIAIdO4kAzLwWe&#10;OwAAADkAAAAQAAAAAAAAAAEAIAAAAAsBAABkcnMvc2hhcGV4bWwueG1sUEsFBgAAAAAGAAYAWwEA&#10;ALUDAAAAAA==&#10;" path="m595,1l2619,0,2619,862,0,862,595,1xe">
                <v:fill on="t" focussize="0,0"/>
                <v:stroke on="f"/>
                <v:imagedata o:title=""/>
                <o:lock v:ext="edit" aspectratio="f"/>
              </v:shape>
              <v:shape id="任意多边形 4" o:spid="_x0000_s1026" o:spt="100" style="position:absolute;left:10467;top:505;height:1108;width:2345;v-text-anchor:middle;" fillcolor="#FFD966" filled="t" stroked="f" coordsize="2619,1265" o:gfxdata="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AHNd6a2AAAA2wAAAA8A&#10;AAAAAAAAAQAgAAAAIgAAAGRycy9kb3ducmV2LnhtbFBLAQIUABQAAAAIAIdO4kAzLwWeOwAAADkA&#10;AAAQAAAAAAAAAAEAIAAAAAUBAABkcnMvc2hhcGV4bWwueG1sUEsFBgAAAAAGAAYAWwEAAK8DAAAA&#10;AA==&#10;" path="m668,0l2619,10,2619,1265,0,1265,668,0xe">
                <v:fill on="t" focussize="0,0"/>
                <v:stroke on="f"/>
                <v:imagedata o:title=""/>
                <o:lock v:ext="edit" aspectratio="f"/>
              </v:shape>
            </v:group>
          </w:pict>
        </mc:Fallback>
      </mc:AlternateContent>
    </w:r>
    <w:r>
      <mc:AlternateContent>
        <mc:Choice Requires="wpg">
          <w:drawing>
            <wp:anchor distT="0" distB="0" distL="114300" distR="114300" simplePos="0" relativeHeight="251675648" behindDoc="0" locked="0" layoutInCell="1" allowOverlap="1">
              <wp:simplePos x="0" y="0"/>
              <wp:positionH relativeFrom="page">
                <wp:posOffset>0</wp:posOffset>
              </wp:positionH>
              <wp:positionV relativeFrom="page">
                <wp:posOffset>377825</wp:posOffset>
              </wp:positionV>
              <wp:extent cx="3556000" cy="406400"/>
              <wp:effectExtent l="0" t="0" r="0" b="0"/>
              <wp:wrapNone/>
              <wp:docPr id="64" name="组合 46"/>
              <wp:cNvGraphicFramePr/>
              <a:graphic xmlns:a="http://schemas.openxmlformats.org/drawingml/2006/main">
                <a:graphicData uri="http://schemas.microsoft.com/office/word/2010/wordprocessingGroup">
                  <wpg:wgp>
                    <wpg:cNvGrpSpPr/>
                    <wpg:grpSpPr>
                      <a:xfrm>
                        <a:off x="0" y="0"/>
                        <a:ext cx="3556000" cy="406400"/>
                        <a:chOff x="1337" y="880"/>
                        <a:chExt cx="3151" cy="641"/>
                      </a:xfrm>
                    </wpg:grpSpPr>
                    <wps:wsp>
                      <wps:cNvPr id="62" name="Quad Arrow 2059"/>
                      <wps:cNvSpPr txBox="1"/>
                      <wps:spPr>
                        <a:xfrm>
                          <a:off x="1401" y="880"/>
                          <a:ext cx="3087" cy="641"/>
                        </a:xfrm>
                        <a:prstGeom prst="rect">
                          <a:avLst/>
                        </a:prstGeom>
                        <a:noFill/>
                        <a:ln>
                          <a:noFill/>
                        </a:ln>
                      </wps:spPr>
                      <wps:txb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第五部分 预算</w:t>
                            </w:r>
                            <w:r>
                              <w:rPr>
                                <w:rFonts w:ascii="微软雅黑" w:hAnsi="微软雅黑" w:eastAsia="微软雅黑" w:cs="微软雅黑"/>
                                <w:b/>
                                <w:bCs/>
                                <w:sz w:val="32"/>
                                <w:szCs w:val="40"/>
                              </w:rPr>
                              <w:t>绩效公</w:t>
                            </w:r>
                            <w:r>
                              <w:rPr>
                                <w:rFonts w:hint="eastAsia" w:ascii="微软雅黑" w:hAnsi="微软雅黑" w:eastAsia="微软雅黑" w:cs="微软雅黑"/>
                                <w:b/>
                                <w:bCs/>
                                <w:sz w:val="32"/>
                                <w:szCs w:val="40"/>
                              </w:rPr>
                              <w:t>内容</w:t>
                            </w:r>
                          </w:p>
                          <w:p/>
                        </w:txbxContent>
                      </wps:txbx>
                      <wps:bodyPr upright="1"/>
                    </wps:wsp>
                    <wps:wsp>
                      <wps:cNvPr id="63" name="矩形 7"/>
                      <wps:cNvSpPr/>
                      <wps:spPr>
                        <a:xfrm>
                          <a:off x="1337" y="1044"/>
                          <a:ext cx="119" cy="330"/>
                        </a:xfrm>
                        <a:prstGeom prst="rect">
                          <a:avLst/>
                        </a:prstGeom>
                        <a:solidFill>
                          <a:srgbClr val="000000"/>
                        </a:solidFill>
                        <a:ln>
                          <a:noFill/>
                        </a:ln>
                      </wps:spPr>
                      <wps:bodyPr anchor="ctr" anchorCtr="0" upright="1"/>
                    </wps:wsp>
                  </wpg:wgp>
                </a:graphicData>
              </a:graphic>
            </wp:anchor>
          </w:drawing>
        </mc:Choice>
        <mc:Fallback>
          <w:pict>
            <v:group id="组合 46" o:spid="_x0000_s1026" o:spt="203" style="position:absolute;left:0pt;margin-left:0pt;margin-top:29.75pt;height:32pt;width:280pt;mso-position-horizontal-relative:page;mso-position-vertical-relative:page;z-index:251675648;mso-width-relative:page;mso-height-relative:page;" coordorigin="1337,880" coordsize="3151,641" o:gfxdata="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Hpuwe1wAAAAcBAAAPAAAAAAAAAAEAIAAA&#10;ACIAAABkcnMvZG93bnJldi54bWxQSwECFAAUAAAACACHTuJAJ7deDX8CAAAeBgAADgAAAAAAAAAB&#10;ACAAAAAmAQAAZHJzL2Uyb0RvYy54bWxQSwUGAAAAAAYABgBZAQAAFwYAAAAA&#10;">
              <o:lock v:ext="edit" aspectratio="f"/>
              <v:shape id="Quad Arrow 2059" o:spid="_x0000_s1026" o:spt="202" type="#_x0000_t202" style="position:absolute;left:1401;top:880;height:641;width:3087;" filled="f" stroked="f" coordsize="21600,21600" o:gfxdata="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EK85n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第五部分 预算</w:t>
                      </w:r>
                      <w:r>
                        <w:rPr>
                          <w:rFonts w:ascii="微软雅黑" w:hAnsi="微软雅黑" w:eastAsia="微软雅黑" w:cs="微软雅黑"/>
                          <w:b/>
                          <w:bCs/>
                          <w:sz w:val="32"/>
                          <w:szCs w:val="40"/>
                        </w:rPr>
                        <w:t>绩效公</w:t>
                      </w:r>
                      <w:r>
                        <w:rPr>
                          <w:rFonts w:hint="eastAsia" w:ascii="微软雅黑" w:hAnsi="微软雅黑" w:eastAsia="微软雅黑" w:cs="微软雅黑"/>
                          <w:b/>
                          <w:bCs/>
                          <w:sz w:val="32"/>
                          <w:szCs w:val="40"/>
                        </w:rPr>
                        <w:t>内容</w:t>
                      </w:r>
                    </w:p>
                    <w:p/>
                  </w:txbxContent>
                </v:textbox>
              </v:shape>
              <v:rect id="矩形 7" o:spid="_x0000_s1026" o:spt="1" style="position:absolute;left:1337;top:1044;height:330;width:119;v-text-anchor:middle;" fillcolor="#000000" filled="t" stroked="f" coordsize="21600,21600" o:gfxdata="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hX7LbsAAADb&#10;AAAADwAAAAAAAAABACAAAAAiAAAAZHJzL2Rvd25yZXYueG1sUEsBAhQAFAAAAAgAh07iQDMvBZ47&#10;AAAAOQAAABAAAAAAAAAAAQAgAAAACgEAAGRycy9zaGFwZXhtbC54bWxQSwUGAAAAAAYABgBbAQAA&#10;tAMAAAAA&#10;">
                <v:fill on="t" focussize="0,0"/>
                <v:stroke on="f"/>
                <v:imagedata o:title=""/>
                <o:lock v:ext="edit" aspectratio="f"/>
              </v:rect>
            </v:group>
          </w:pict>
        </mc:Fallback>
      </mc:AlternateConten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g">
          <w:drawing>
            <wp:anchor distT="0" distB="0" distL="114300" distR="114300" simplePos="0" relativeHeight="251671552" behindDoc="0" locked="0" layoutInCell="1" allowOverlap="1">
              <wp:simplePos x="0" y="0"/>
              <wp:positionH relativeFrom="page">
                <wp:posOffset>9525</wp:posOffset>
              </wp:positionH>
              <wp:positionV relativeFrom="page">
                <wp:posOffset>307340</wp:posOffset>
              </wp:positionV>
              <wp:extent cx="7560310" cy="483235"/>
              <wp:effectExtent l="0" t="0" r="2540" b="12065"/>
              <wp:wrapNone/>
              <wp:docPr id="53" name="组合 19"/>
              <wp:cNvGraphicFramePr/>
              <a:graphic xmlns:a="http://schemas.openxmlformats.org/drawingml/2006/main">
                <a:graphicData uri="http://schemas.microsoft.com/office/word/2010/wordprocessingGroup">
                  <wpg:wgp>
                    <wpg:cNvGrpSpPr/>
                    <wpg:grpSpPr>
                      <a:xfrm>
                        <a:off x="0" y="0"/>
                        <a:ext cx="7560310" cy="483235"/>
                        <a:chOff x="881" y="505"/>
                        <a:chExt cx="11930" cy="1179"/>
                      </a:xfrm>
                    </wpg:grpSpPr>
                    <wps:wsp>
                      <wps:cNvPr id="50" name="矩形 2"/>
                      <wps:cNvSpPr/>
                      <wps:spPr>
                        <a:xfrm>
                          <a:off x="881" y="1538"/>
                          <a:ext cx="11925" cy="146"/>
                        </a:xfrm>
                        <a:prstGeom prst="rect">
                          <a:avLst/>
                        </a:prstGeom>
                        <a:solidFill>
                          <a:srgbClr val="FFD966"/>
                        </a:solidFill>
                        <a:ln>
                          <a:noFill/>
                        </a:ln>
                      </wps:spPr>
                      <wps:bodyPr anchor="ctr" anchorCtr="0" upright="1"/>
                    </wps:wsp>
                    <wps:wsp>
                      <wps:cNvPr id="51" name="任意多边形 3"/>
                      <wps:cNvSpPr/>
                      <wps:spPr>
                        <a:xfrm>
                          <a:off x="10177" y="686"/>
                          <a:ext cx="2619" cy="862"/>
                        </a:xfrm>
                        <a:custGeom>
                          <a:avLst/>
                          <a:gdLst/>
                          <a:ahLst/>
                          <a:cxnLst/>
                          <a:pathLst>
                            <a:path w="2619" h="862">
                              <a:moveTo>
                                <a:pt x="595" y="1"/>
                              </a:moveTo>
                              <a:lnTo>
                                <a:pt x="2619" y="0"/>
                              </a:lnTo>
                              <a:lnTo>
                                <a:pt x="2619" y="862"/>
                              </a:lnTo>
                              <a:lnTo>
                                <a:pt x="0" y="862"/>
                              </a:lnTo>
                              <a:lnTo>
                                <a:pt x="595" y="1"/>
                              </a:lnTo>
                              <a:close/>
                            </a:path>
                          </a:pathLst>
                        </a:custGeom>
                        <a:solidFill>
                          <a:srgbClr val="000000"/>
                        </a:solidFill>
                        <a:ln>
                          <a:noFill/>
                        </a:ln>
                      </wps:spPr>
                      <wps:bodyPr anchor="ctr" anchorCtr="0" upright="1"/>
                    </wps:wsp>
                    <wps:wsp>
                      <wps:cNvPr id="52" name="任意多边形 4"/>
                      <wps:cNvSpPr/>
                      <wps:spPr>
                        <a:xfrm>
                          <a:off x="10467" y="505"/>
                          <a:ext cx="2345" cy="1108"/>
                        </a:xfrm>
                        <a:custGeom>
                          <a:avLst/>
                          <a:gdLst/>
                          <a:ahLst/>
                          <a:cxnLst/>
                          <a:pathLst>
                            <a:path w="2619" h="1265">
                              <a:moveTo>
                                <a:pt x="668" y="0"/>
                              </a:moveTo>
                              <a:lnTo>
                                <a:pt x="2619" y="10"/>
                              </a:lnTo>
                              <a:lnTo>
                                <a:pt x="2619" y="1265"/>
                              </a:lnTo>
                              <a:lnTo>
                                <a:pt x="0" y="1265"/>
                              </a:lnTo>
                              <a:lnTo>
                                <a:pt x="668" y="0"/>
                              </a:lnTo>
                              <a:close/>
                            </a:path>
                          </a:pathLst>
                        </a:custGeom>
                        <a:solidFill>
                          <a:srgbClr val="FFD966"/>
                        </a:solidFill>
                        <a:ln>
                          <a:noFill/>
                        </a:ln>
                      </wps:spPr>
                      <wps:bodyPr anchor="ctr" anchorCtr="0" upright="1"/>
                    </wps:wsp>
                  </wpg:wgp>
                </a:graphicData>
              </a:graphic>
            </wp:anchor>
          </w:drawing>
        </mc:Choice>
        <mc:Fallback>
          <w:pict>
            <v:group id="组合 19" o:spid="_x0000_s1026" o:spt="203" style="position:absolute;left:0pt;margin-left:0.75pt;margin-top:24.2pt;height:38.05pt;width:595.3pt;mso-position-horizontal-relative:page;mso-position-vertical-relative:page;z-index:251671552;mso-width-relative:page;mso-height-relative:page;" coordorigin="881,505" coordsize="11930,1179" o:gfxdata="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">
              <o:lock v:ext="edit" aspectratio="f"/>
              <v:rect id="矩形 2" o:spid="_x0000_s1026" o:spt="1" style="position:absolute;left:881;top:1538;height:146;width:11925;v-text-anchor:middle;" fillcolor="#FFD966" filled="t" stroked="f" coordsize="21600,21600" o:gfxdata="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BTydEugAAANsA&#10;AAAPAAAAAAAAAAEAIAAAACIAAABkcnMvZG93bnJldi54bWxQSwECFAAUAAAACACHTuJAMy8FnjsA&#10;AAA5AAAAEAAAAAAAAAABACAAAAAJAQAAZHJzL3NoYXBleG1sLnhtbFBLBQYAAAAABgAGAFsBAACz&#10;AwAAAAA=&#10;">
                <v:fill on="t" focussize="0,0"/>
                <v:stroke on="f"/>
                <v:imagedata o:title=""/>
                <o:lock v:ext="edit" aspectratio="f"/>
              </v:rect>
              <v:shape id="任意多边形 3" o:spid="_x0000_s1026" o:spt="100" style="position:absolute;left:10177;top:686;height:862;width:2619;v-text-anchor:middle;" fillcolor="#000000" filled="t" stroked="f" coordsize="2619,862" o:gfxdata="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mK+zG8AAAA&#10;2wAAAA8AAAAAAAAAAQAgAAAAIgAAAGRycy9kb3ducmV2LnhtbFBLAQIUABQAAAAIAIdO4kAzLwWe&#10;OwAAADkAAAAQAAAAAAAAAAEAIAAAAAsBAABkcnMvc2hhcGV4bWwueG1sUEsFBgAAAAAGAAYAWwEA&#10;ALUDAAAAAA==&#10;" path="m595,1l2619,0,2619,862,0,862,595,1xe">
                <v:fill on="t" focussize="0,0"/>
                <v:stroke on="f"/>
                <v:imagedata o:title=""/>
                <o:lock v:ext="edit" aspectratio="f"/>
              </v:shape>
              <v:shape id="任意多边形 4" o:spid="_x0000_s1026" o:spt="100" style="position:absolute;left:10467;top:505;height:1108;width:2345;v-text-anchor:middle;" fillcolor="#FFD966" filled="t" stroked="f" coordsize="2619,1265" o:gfxdata="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QP4b3vQAA&#10;ANsAAAAPAAAAAAAAAAEAIAAAACIAAABkcnMvZG93bnJldi54bWxQSwECFAAUAAAACACHTuJAMy8F&#10;njsAAAA5AAAAEAAAAAAAAAABACAAAAAMAQAAZHJzL3NoYXBleG1sLnhtbFBLBQYAAAAABgAGAFsB&#10;AAC2AwAAAAA=&#10;" path="m668,0l2619,10,2619,1265,0,1265,668,0xe">
                <v:fill on="t" focussize="0,0"/>
                <v:stroke on="f"/>
                <v:imagedata o:title=""/>
                <o:lock v:ext="edit" aspectratio="f"/>
              </v:shape>
            </v:group>
          </w:pict>
        </mc:Fallback>
      </mc:AlternateContent>
    </w:r>
    <w:r>
      <mc:AlternateContent>
        <mc:Choice Requires="wpg">
          <w:drawing>
            <wp:anchor distT="0" distB="0" distL="114300" distR="114300" simplePos="0" relativeHeight="251672576" behindDoc="0" locked="0" layoutInCell="1" allowOverlap="1">
              <wp:simplePos x="0" y="0"/>
              <wp:positionH relativeFrom="page">
                <wp:align>left</wp:align>
              </wp:positionH>
              <wp:positionV relativeFrom="page">
                <wp:posOffset>377825</wp:posOffset>
              </wp:positionV>
              <wp:extent cx="3228975" cy="406400"/>
              <wp:effectExtent l="0" t="0" r="0" b="0"/>
              <wp:wrapNone/>
              <wp:docPr id="56" name="组合 16"/>
              <wp:cNvGraphicFramePr/>
              <a:graphic xmlns:a="http://schemas.openxmlformats.org/drawingml/2006/main">
                <a:graphicData uri="http://schemas.microsoft.com/office/word/2010/wordprocessingGroup">
                  <wpg:wgp>
                    <wpg:cNvGrpSpPr/>
                    <wpg:grpSpPr>
                      <a:xfrm>
                        <a:off x="0" y="0"/>
                        <a:ext cx="3228975" cy="406400"/>
                        <a:chOff x="1337" y="880"/>
                        <a:chExt cx="3150" cy="640"/>
                      </a:xfrm>
                    </wpg:grpSpPr>
                    <wps:wsp>
                      <wps:cNvPr id="54" name="Quad Arrow 2051"/>
                      <wps:cNvSpPr txBox="1"/>
                      <wps:spPr>
                        <a:xfrm>
                          <a:off x="1401" y="880"/>
                          <a:ext cx="3087" cy="641"/>
                        </a:xfrm>
                        <a:prstGeom prst="rect">
                          <a:avLst/>
                        </a:prstGeom>
                        <a:noFill/>
                        <a:ln>
                          <a:noFill/>
                        </a:ln>
                      </wps:spPr>
                      <wps:txb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wps:txbx>
                      <wps:bodyPr upright="1"/>
                    </wps:wsp>
                    <wps:wsp>
                      <wps:cNvPr id="55" name="矩形 7"/>
                      <wps:cNvSpPr/>
                      <wps:spPr>
                        <a:xfrm>
                          <a:off x="1337" y="1044"/>
                          <a:ext cx="119" cy="330"/>
                        </a:xfrm>
                        <a:prstGeom prst="rect">
                          <a:avLst/>
                        </a:prstGeom>
                        <a:solidFill>
                          <a:srgbClr val="000000"/>
                        </a:solidFill>
                        <a:ln>
                          <a:noFill/>
                        </a:ln>
                      </wps:spPr>
                      <wps:bodyPr anchor="ctr" anchorCtr="0" upright="1"/>
                    </wps:wsp>
                  </wpg:wgp>
                </a:graphicData>
              </a:graphic>
            </wp:anchor>
          </w:drawing>
        </mc:Choice>
        <mc:Fallback>
          <w:pict>
            <v:group id="组合 16" o:spid="_x0000_s1026" o:spt="203" style="position:absolute;left:0pt;margin-top:29.75pt;height:32pt;width:254.25pt;mso-position-horizontal:left;mso-position-horizontal-relative:page;mso-position-vertical-relative:page;z-index:251672576;mso-width-relative:page;mso-height-relative:page;" coordorigin="1337,880" coordsize="3150,640" o:gfxdata="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PCAQPtcAAAAHAQAADwAAAAAAAAABACAA&#10;AAAiAAAAZHJzL2Rvd25yZXYueG1sUEsBAhQAFAAAAAgAh07iQC3FD3+AAgAAHgYAAA4AAAAAAAAA&#10;AQAgAAAAJgEAAGRycy9lMm9Eb2MueG1sUEsFBgAAAAAGAAYAWQEAABgGAAAAAA==&#10;">
              <o:lock v:ext="edit" aspectratio="f"/>
              <v:shape id="Quad Arrow 2051" o:spid="_x0000_s1026" o:spt="202" type="#_x0000_t202" style="position:absolute;left:1401;top:880;height:641;width:3087;" filled="f" stroked="f" coordsize="21600,21600" o:gfxdata="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q4jk1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v:textbox>
              </v:shape>
              <v:rect id="矩形 7" o:spid="_x0000_s1026" o:spt="1" style="position:absolute;left:1337;top:1044;height:330;width:119;v-text-anchor:middle;" fillcolor="#000000" filled="t" stroked="f" coordsize="21600,21600" o:gfxdata="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zcDH+8AAAA&#10;2wAAAA8AAAAAAAAAAQAgAAAAIgAAAGRycy9kb3ducmV2LnhtbFBLAQIUABQAAAAIAIdO4kAzLwWe&#10;OwAAADkAAAAQAAAAAAAAAAEAIAAAAAsBAABkcnMvc2hhcGV4bWwueG1sUEsFBgAAAAAGAAYAWwEA&#10;ALUDAAAAAA==&#10;">
                <v:fill on="t" focussize="0,0"/>
                <v:stroke on="f"/>
                <v:imagedata o:title=""/>
                <o:lock v:ext="edit" aspectratio="f"/>
              </v:rect>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4579C1"/>
    <w:multiLevelType w:val="multilevel"/>
    <w:tmpl w:val="134579C1"/>
    <w:lvl w:ilvl="0" w:tentative="0">
      <w:start w:val="2"/>
      <w:numFmt w:val="japaneseCounting"/>
      <w:lvlText w:val="（%1）"/>
      <w:lvlJc w:val="left"/>
      <w:pPr>
        <w:ind w:left="1821" w:hanging="1080"/>
      </w:pPr>
      <w:rPr>
        <w:rFonts w:hint="default"/>
      </w:rPr>
    </w:lvl>
    <w:lvl w:ilvl="1" w:tentative="0">
      <w:start w:val="1"/>
      <w:numFmt w:val="lowerLetter"/>
      <w:lvlText w:val="%2)"/>
      <w:lvlJc w:val="left"/>
      <w:pPr>
        <w:ind w:left="1581" w:hanging="420"/>
      </w:pPr>
    </w:lvl>
    <w:lvl w:ilvl="2" w:tentative="0">
      <w:start w:val="1"/>
      <w:numFmt w:val="lowerRoman"/>
      <w:lvlText w:val="%3."/>
      <w:lvlJc w:val="right"/>
      <w:pPr>
        <w:ind w:left="2001" w:hanging="420"/>
      </w:pPr>
    </w:lvl>
    <w:lvl w:ilvl="3" w:tentative="0">
      <w:start w:val="1"/>
      <w:numFmt w:val="decimal"/>
      <w:lvlText w:val="%4."/>
      <w:lvlJc w:val="left"/>
      <w:pPr>
        <w:ind w:left="2421" w:hanging="420"/>
      </w:pPr>
    </w:lvl>
    <w:lvl w:ilvl="4" w:tentative="0">
      <w:start w:val="1"/>
      <w:numFmt w:val="lowerLetter"/>
      <w:lvlText w:val="%5)"/>
      <w:lvlJc w:val="left"/>
      <w:pPr>
        <w:ind w:left="2841" w:hanging="420"/>
      </w:pPr>
    </w:lvl>
    <w:lvl w:ilvl="5" w:tentative="0">
      <w:start w:val="1"/>
      <w:numFmt w:val="lowerRoman"/>
      <w:lvlText w:val="%6."/>
      <w:lvlJc w:val="right"/>
      <w:pPr>
        <w:ind w:left="3261" w:hanging="420"/>
      </w:pPr>
    </w:lvl>
    <w:lvl w:ilvl="6" w:tentative="0">
      <w:start w:val="1"/>
      <w:numFmt w:val="decimal"/>
      <w:lvlText w:val="%7."/>
      <w:lvlJc w:val="left"/>
      <w:pPr>
        <w:ind w:left="3681" w:hanging="420"/>
      </w:pPr>
    </w:lvl>
    <w:lvl w:ilvl="7" w:tentative="0">
      <w:start w:val="1"/>
      <w:numFmt w:val="lowerLetter"/>
      <w:lvlText w:val="%8)"/>
      <w:lvlJc w:val="left"/>
      <w:pPr>
        <w:ind w:left="4101" w:hanging="420"/>
      </w:pPr>
    </w:lvl>
    <w:lvl w:ilvl="8" w:tentative="0">
      <w:start w:val="1"/>
      <w:numFmt w:val="lowerRoman"/>
      <w:lvlText w:val="%9."/>
      <w:lvlJc w:val="right"/>
      <w:pPr>
        <w:ind w:left="4521" w:hanging="420"/>
      </w:pPr>
    </w:lvl>
  </w:abstractNum>
  <w:abstractNum w:abstractNumId="1">
    <w:nsid w:val="45DB9A87"/>
    <w:multiLevelType w:val="singleLevel"/>
    <w:tmpl w:val="45DB9A87"/>
    <w:lvl w:ilvl="0" w:tentative="0">
      <w:start w:val="3"/>
      <w:numFmt w:val="chineseCounting"/>
      <w:suff w:val="nothing"/>
      <w:lvlText w:val="（%1）"/>
      <w:lvlJc w:val="left"/>
      <w:rPr>
        <w:rFonts w:hint="eastAsia"/>
      </w:rPr>
    </w:lvl>
  </w:abstractNum>
  <w:abstractNum w:abstractNumId="2">
    <w:nsid w:val="5B935148"/>
    <w:multiLevelType w:val="multilevel"/>
    <w:tmpl w:val="5B935148"/>
    <w:lvl w:ilvl="0" w:tentative="0">
      <w:start w:val="1"/>
      <w:numFmt w:val="japaneseCounting"/>
      <w:lvlText w:val="%1、"/>
      <w:lvlJc w:val="left"/>
      <w:pPr>
        <w:ind w:left="2000" w:hanging="72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abstractNum w:abstractNumId="3">
    <w:nsid w:val="73BA68AB"/>
    <w:multiLevelType w:val="multilevel"/>
    <w:tmpl w:val="73BA68AB"/>
    <w:lvl w:ilvl="0" w:tentative="0">
      <w:start w:val="1"/>
      <w:numFmt w:val="decimal"/>
      <w:lvlText w:val="%1."/>
      <w:lvlJc w:val="left"/>
      <w:pPr>
        <w:ind w:left="1640" w:hanging="36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attachedTemplate r:id="rId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wYjcxODNiNDFlYzllZjBiMjU0Mjg4ZjY5ZjZhMGMifQ=="/>
  </w:docVars>
  <w:rsids>
    <w:rsidRoot w:val="6AAF1C96"/>
    <w:rsid w:val="00002B07"/>
    <w:rsid w:val="000148F5"/>
    <w:rsid w:val="0007063E"/>
    <w:rsid w:val="00073392"/>
    <w:rsid w:val="00073F4E"/>
    <w:rsid w:val="00086C89"/>
    <w:rsid w:val="00097B04"/>
    <w:rsid w:val="000A11F1"/>
    <w:rsid w:val="000A39FB"/>
    <w:rsid w:val="000B4F73"/>
    <w:rsid w:val="000C24E7"/>
    <w:rsid w:val="000F339C"/>
    <w:rsid w:val="0011486C"/>
    <w:rsid w:val="00116C54"/>
    <w:rsid w:val="00117746"/>
    <w:rsid w:val="001510C2"/>
    <w:rsid w:val="00163F95"/>
    <w:rsid w:val="00172298"/>
    <w:rsid w:val="00180A9A"/>
    <w:rsid w:val="001829C0"/>
    <w:rsid w:val="00184809"/>
    <w:rsid w:val="00192112"/>
    <w:rsid w:val="001B0127"/>
    <w:rsid w:val="001B40BA"/>
    <w:rsid w:val="001C12D5"/>
    <w:rsid w:val="001C69F7"/>
    <w:rsid w:val="001E7B26"/>
    <w:rsid w:val="00233D91"/>
    <w:rsid w:val="00254C03"/>
    <w:rsid w:val="00264660"/>
    <w:rsid w:val="002650EC"/>
    <w:rsid w:val="00293E56"/>
    <w:rsid w:val="002A6C46"/>
    <w:rsid w:val="002C19B5"/>
    <w:rsid w:val="002E322B"/>
    <w:rsid w:val="00302870"/>
    <w:rsid w:val="003072BD"/>
    <w:rsid w:val="00314AE0"/>
    <w:rsid w:val="003A4EE8"/>
    <w:rsid w:val="003C1E8E"/>
    <w:rsid w:val="003D6868"/>
    <w:rsid w:val="003F7FA6"/>
    <w:rsid w:val="004061FB"/>
    <w:rsid w:val="00442CC2"/>
    <w:rsid w:val="00446244"/>
    <w:rsid w:val="004526D5"/>
    <w:rsid w:val="00460843"/>
    <w:rsid w:val="004636B1"/>
    <w:rsid w:val="00473C20"/>
    <w:rsid w:val="004A566F"/>
    <w:rsid w:val="004D2892"/>
    <w:rsid w:val="004D61CB"/>
    <w:rsid w:val="004E0E56"/>
    <w:rsid w:val="005011D6"/>
    <w:rsid w:val="00502448"/>
    <w:rsid w:val="00503F2E"/>
    <w:rsid w:val="0051127E"/>
    <w:rsid w:val="00512FF7"/>
    <w:rsid w:val="00514D6F"/>
    <w:rsid w:val="00533760"/>
    <w:rsid w:val="0054317C"/>
    <w:rsid w:val="00552226"/>
    <w:rsid w:val="0055632F"/>
    <w:rsid w:val="00566120"/>
    <w:rsid w:val="005729FE"/>
    <w:rsid w:val="00582E6D"/>
    <w:rsid w:val="00587C47"/>
    <w:rsid w:val="005954D5"/>
    <w:rsid w:val="005A06F4"/>
    <w:rsid w:val="005A53FA"/>
    <w:rsid w:val="005B166A"/>
    <w:rsid w:val="005C7AB9"/>
    <w:rsid w:val="005D1293"/>
    <w:rsid w:val="005D2621"/>
    <w:rsid w:val="005E4209"/>
    <w:rsid w:val="006103E8"/>
    <w:rsid w:val="00644D5F"/>
    <w:rsid w:val="00661681"/>
    <w:rsid w:val="006727AD"/>
    <w:rsid w:val="00691425"/>
    <w:rsid w:val="006A516E"/>
    <w:rsid w:val="006B0130"/>
    <w:rsid w:val="006B0830"/>
    <w:rsid w:val="006B3D2A"/>
    <w:rsid w:val="006D2D29"/>
    <w:rsid w:val="006E7A73"/>
    <w:rsid w:val="007037A8"/>
    <w:rsid w:val="00716E2B"/>
    <w:rsid w:val="00727F79"/>
    <w:rsid w:val="00762026"/>
    <w:rsid w:val="00770F18"/>
    <w:rsid w:val="00773B74"/>
    <w:rsid w:val="007816A4"/>
    <w:rsid w:val="0078290C"/>
    <w:rsid w:val="007A394E"/>
    <w:rsid w:val="007A4498"/>
    <w:rsid w:val="007A5C89"/>
    <w:rsid w:val="007C06CA"/>
    <w:rsid w:val="007C1980"/>
    <w:rsid w:val="00815C21"/>
    <w:rsid w:val="008163FB"/>
    <w:rsid w:val="00822501"/>
    <w:rsid w:val="0082605B"/>
    <w:rsid w:val="00826F7E"/>
    <w:rsid w:val="00855C36"/>
    <w:rsid w:val="00857DBE"/>
    <w:rsid w:val="008644BB"/>
    <w:rsid w:val="008701BC"/>
    <w:rsid w:val="0087505B"/>
    <w:rsid w:val="00883D92"/>
    <w:rsid w:val="008A5362"/>
    <w:rsid w:val="008B73BF"/>
    <w:rsid w:val="008E39E5"/>
    <w:rsid w:val="008E5CDC"/>
    <w:rsid w:val="008F21F1"/>
    <w:rsid w:val="008F221B"/>
    <w:rsid w:val="008F5A2D"/>
    <w:rsid w:val="00921602"/>
    <w:rsid w:val="00957EA1"/>
    <w:rsid w:val="00966E5B"/>
    <w:rsid w:val="009B4EF0"/>
    <w:rsid w:val="009C1802"/>
    <w:rsid w:val="009D271F"/>
    <w:rsid w:val="00A100CD"/>
    <w:rsid w:val="00A25B28"/>
    <w:rsid w:val="00A52740"/>
    <w:rsid w:val="00A908A6"/>
    <w:rsid w:val="00A929C2"/>
    <w:rsid w:val="00A932BF"/>
    <w:rsid w:val="00AB2AA6"/>
    <w:rsid w:val="00AD097F"/>
    <w:rsid w:val="00AE44B0"/>
    <w:rsid w:val="00B47204"/>
    <w:rsid w:val="00B73B1E"/>
    <w:rsid w:val="00B73CA2"/>
    <w:rsid w:val="00B84216"/>
    <w:rsid w:val="00B844F4"/>
    <w:rsid w:val="00B86D68"/>
    <w:rsid w:val="00B91444"/>
    <w:rsid w:val="00BA06A1"/>
    <w:rsid w:val="00BA511A"/>
    <w:rsid w:val="00BA770A"/>
    <w:rsid w:val="00BB60B2"/>
    <w:rsid w:val="00BD6D91"/>
    <w:rsid w:val="00BF7241"/>
    <w:rsid w:val="00BF7E46"/>
    <w:rsid w:val="00C054DE"/>
    <w:rsid w:val="00C27ADE"/>
    <w:rsid w:val="00C679A9"/>
    <w:rsid w:val="00C7541C"/>
    <w:rsid w:val="00CA72C4"/>
    <w:rsid w:val="00CC0FAA"/>
    <w:rsid w:val="00CC6DE6"/>
    <w:rsid w:val="00CC78CF"/>
    <w:rsid w:val="00CD0736"/>
    <w:rsid w:val="00CF7F94"/>
    <w:rsid w:val="00D105EA"/>
    <w:rsid w:val="00D1570F"/>
    <w:rsid w:val="00D32830"/>
    <w:rsid w:val="00D42095"/>
    <w:rsid w:val="00D8485F"/>
    <w:rsid w:val="00DB4B39"/>
    <w:rsid w:val="00DB7153"/>
    <w:rsid w:val="00DB7F05"/>
    <w:rsid w:val="00DE7EC1"/>
    <w:rsid w:val="00E028C3"/>
    <w:rsid w:val="00E14F77"/>
    <w:rsid w:val="00E3076B"/>
    <w:rsid w:val="00E36978"/>
    <w:rsid w:val="00E55005"/>
    <w:rsid w:val="00E609F8"/>
    <w:rsid w:val="00E669C7"/>
    <w:rsid w:val="00E82A1E"/>
    <w:rsid w:val="00E82FA1"/>
    <w:rsid w:val="00E90F8C"/>
    <w:rsid w:val="00EC06F4"/>
    <w:rsid w:val="00ED7C37"/>
    <w:rsid w:val="00EE4E36"/>
    <w:rsid w:val="00EF43D8"/>
    <w:rsid w:val="00F1714B"/>
    <w:rsid w:val="00F665F4"/>
    <w:rsid w:val="00F85EC6"/>
    <w:rsid w:val="00FD225F"/>
    <w:rsid w:val="00FF0746"/>
    <w:rsid w:val="0AD412CA"/>
    <w:rsid w:val="31C2036A"/>
    <w:rsid w:val="320D02A5"/>
    <w:rsid w:val="348E566F"/>
    <w:rsid w:val="3A226944"/>
    <w:rsid w:val="3AEE6A48"/>
    <w:rsid w:val="3C1620AA"/>
    <w:rsid w:val="3D8F080F"/>
    <w:rsid w:val="44CE1FA4"/>
    <w:rsid w:val="487F73ED"/>
    <w:rsid w:val="4A347EAE"/>
    <w:rsid w:val="52600405"/>
    <w:rsid w:val="529B4319"/>
    <w:rsid w:val="55DB2B73"/>
    <w:rsid w:val="57773DD6"/>
    <w:rsid w:val="578B79AB"/>
    <w:rsid w:val="5CCD3FD5"/>
    <w:rsid w:val="61FA5F9D"/>
    <w:rsid w:val="64CD6910"/>
    <w:rsid w:val="6789158D"/>
    <w:rsid w:val="67D81BA4"/>
    <w:rsid w:val="6AAF1C96"/>
    <w:rsid w:val="75681757"/>
    <w:rsid w:val="75A346A8"/>
    <w:rsid w:val="79B9382C"/>
    <w:rsid w:val="7B043B76"/>
    <w:rsid w:val="7C041A6A"/>
    <w:rsid w:val="7E327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semiHidden="0" w:name="header"/>
    <w:lsdException w:qFormat="1"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iPriority="99"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1"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黑体"/>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7"/>
    <w:qFormat/>
    <w:uiPriority w:val="0"/>
    <w:pPr>
      <w:keepNext/>
      <w:keepLines/>
      <w:spacing w:before="260" w:after="260" w:line="415" w:lineRule="auto"/>
      <w:outlineLvl w:val="1"/>
    </w:pPr>
    <w:rPr>
      <w:rFonts w:ascii="Arial" w:hAnsi="Arial" w:eastAsia="黑体" w:cs="Times New Roman"/>
      <w:b/>
      <w:sz w:val="32"/>
      <w:szCs w:val="24"/>
    </w:rPr>
  </w:style>
  <w:style w:type="paragraph" w:styleId="4">
    <w:name w:val="heading 3"/>
    <w:basedOn w:val="1"/>
    <w:next w:val="1"/>
    <w:link w:val="18"/>
    <w:uiPriority w:val="0"/>
    <w:pPr>
      <w:keepNext/>
      <w:keepLines/>
      <w:spacing w:before="260" w:after="260" w:line="415" w:lineRule="auto"/>
      <w:outlineLvl w:val="2"/>
    </w:pPr>
    <w:rPr>
      <w:rFonts w:ascii="Times New Roman" w:hAnsi="Times New Roman" w:eastAsia="宋体" w:cs="Times New Roman"/>
      <w:b/>
      <w:sz w:val="32"/>
      <w:szCs w:val="24"/>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Body Text"/>
    <w:basedOn w:val="1"/>
    <w:unhideWhenUsed/>
    <w:qFormat/>
    <w:uiPriority w:val="99"/>
    <w:rPr>
      <w:rFonts w:ascii="仿宋_GB2312" w:hAnsi="仿宋_GB2312" w:eastAsia="仿宋_GB2312" w:cs="仿宋_GB2312"/>
      <w:sz w:val="32"/>
      <w:szCs w:val="32"/>
      <w:lang w:val="zh-CN" w:bidi="zh-CN"/>
    </w:rPr>
  </w:style>
  <w:style w:type="paragraph" w:styleId="6">
    <w:name w:val="footer"/>
    <w:basedOn w:val="1"/>
    <w:link w:val="16"/>
    <w:unhideWhenUsed/>
    <w:qFormat/>
    <w:uiPriority w:val="0"/>
    <w:pPr>
      <w:tabs>
        <w:tab w:val="center" w:pos="4153"/>
        <w:tab w:val="right" w:pos="8306"/>
      </w:tabs>
      <w:snapToGrid w:val="0"/>
      <w:jc w:val="left"/>
    </w:pPr>
    <w:rPr>
      <w:sz w:val="18"/>
      <w:szCs w:val="18"/>
    </w:rPr>
  </w:style>
  <w:style w:type="paragraph" w:styleId="7">
    <w:name w:val="header"/>
    <w:basedOn w:val="1"/>
    <w:link w:val="15"/>
    <w:unhideWhenUsed/>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0">
    <w:name w:val="Table Grid"/>
    <w:qFormat/>
    <w:uiPriority w:val="1"/>
    <w:rPr>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12">
    <w:name w:val="列出段落1"/>
    <w:basedOn w:val="1"/>
    <w:qFormat/>
    <w:uiPriority w:val="1"/>
    <w:pPr>
      <w:spacing w:before="2"/>
      <w:ind w:left="119" w:right="434" w:firstLine="643"/>
    </w:pPr>
    <w:rPr>
      <w:rFonts w:ascii="仿宋_GB2312" w:hAnsi="仿宋_GB2312" w:eastAsia="仿宋_GB2312" w:cs="仿宋_GB2312"/>
      <w:lang w:val="zh-CN" w:bidi="zh-CN"/>
    </w:rPr>
  </w:style>
  <w:style w:type="paragraph" w:customStyle="1" w:styleId="13">
    <w:name w:val="列出段落2"/>
    <w:basedOn w:val="1"/>
    <w:uiPriority w:val="99"/>
    <w:pPr>
      <w:ind w:firstLine="420" w:firstLineChars="200"/>
    </w:pPr>
  </w:style>
  <w:style w:type="paragraph" w:customStyle="1" w:styleId="14">
    <w:name w:val="石墨文档正文"/>
    <w:qFormat/>
    <w:uiPriority w:val="0"/>
    <w:rPr>
      <w:rFonts w:ascii="微软雅黑" w:hAnsi="微软雅黑" w:eastAsia="微软雅黑" w:cs="微软雅黑"/>
      <w:sz w:val="22"/>
      <w:szCs w:val="22"/>
      <w:lang w:val="en-US" w:eastAsia="zh-CN" w:bidi="ar-SA"/>
    </w:rPr>
  </w:style>
  <w:style w:type="character" w:customStyle="1" w:styleId="15">
    <w:name w:val="页眉 Char"/>
    <w:basedOn w:val="11"/>
    <w:link w:val="7"/>
    <w:qFormat/>
    <w:uiPriority w:val="0"/>
    <w:rPr>
      <w:rFonts w:ascii="等线" w:hAnsi="等线" w:eastAsia="等线"/>
      <w:sz w:val="18"/>
      <w:szCs w:val="18"/>
    </w:rPr>
  </w:style>
  <w:style w:type="character" w:customStyle="1" w:styleId="16">
    <w:name w:val="页脚 Char"/>
    <w:basedOn w:val="11"/>
    <w:link w:val="6"/>
    <w:qFormat/>
    <w:uiPriority w:val="0"/>
    <w:rPr>
      <w:sz w:val="18"/>
      <w:szCs w:val="18"/>
    </w:rPr>
  </w:style>
  <w:style w:type="character" w:customStyle="1" w:styleId="17">
    <w:name w:val="标题 2 Char"/>
    <w:basedOn w:val="11"/>
    <w:link w:val="3"/>
    <w:uiPriority w:val="0"/>
    <w:rPr>
      <w:rFonts w:ascii="Arial" w:hAnsi="Arial" w:eastAsia="黑体"/>
      <w:b/>
      <w:kern w:val="2"/>
      <w:sz w:val="32"/>
      <w:szCs w:val="24"/>
    </w:rPr>
  </w:style>
  <w:style w:type="character" w:customStyle="1" w:styleId="18">
    <w:name w:val="标题 3 Char"/>
    <w:basedOn w:val="11"/>
    <w:link w:val="4"/>
    <w:uiPriority w:val="0"/>
    <w:rPr>
      <w:rFonts w:ascii="Times New Roman" w:hAnsi="Times New Roman"/>
      <w:b/>
      <w:kern w:val="2"/>
      <w:sz w:val="32"/>
      <w:szCs w:val="24"/>
    </w:rPr>
  </w:style>
  <w:style w:type="character" w:customStyle="1" w:styleId="19">
    <w:name w:val="font11"/>
    <w:uiPriority w:val="0"/>
    <w:rPr>
      <w:rFonts w:ascii="仿宋_GB2312" w:eastAsia="仿宋_GB2312" w:cs="仿宋_GB2312"/>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image" Target="media/image1.bmp"/><Relationship Id="rId27" Type="http://schemas.openxmlformats.org/officeDocument/2006/relationships/theme" Target="theme/theme1.xml"/><Relationship Id="rId26" Type="http://schemas.openxmlformats.org/officeDocument/2006/relationships/footer" Target="footer9.xml"/><Relationship Id="rId25" Type="http://schemas.openxmlformats.org/officeDocument/2006/relationships/header" Target="header15.xml"/><Relationship Id="rId24" Type="http://schemas.openxmlformats.org/officeDocument/2006/relationships/header" Target="header14.xml"/><Relationship Id="rId23" Type="http://schemas.openxmlformats.org/officeDocument/2006/relationships/header" Target="header13.xml"/><Relationship Id="rId22" Type="http://schemas.openxmlformats.org/officeDocument/2006/relationships/header" Target="header12.xml"/><Relationship Id="rId21" Type="http://schemas.openxmlformats.org/officeDocument/2006/relationships/header" Target="header11.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header" Target="header10.xml"/><Relationship Id="rId17" Type="http://schemas.openxmlformats.org/officeDocument/2006/relationships/header" Target="header9.xml"/><Relationship Id="rId16" Type="http://schemas.openxmlformats.org/officeDocument/2006/relationships/header" Target="header8.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mingxin\AppData\Roaming\kingsoft\office6\templates\download\5185bd05-a416-9a0b-b3d5-d2d8db942b83\&#31616;&#32422;&#25991;&#26723;&#23553;&#38754;&#27169;&#26495;.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简约文档封面模板</Template>
  <Pages>35</Pages>
  <Words>2041</Words>
  <Characters>11636</Characters>
  <Lines>96</Lines>
  <Paragraphs>27</Paragraphs>
  <TotalTime>20</TotalTime>
  <ScaleCrop>false</ScaleCrop>
  <LinksUpToDate>false</LinksUpToDate>
  <CharactersWithSpaces>13650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2020-12-30T08:41:00Z</dcterms:created>
  <dc:creator>王明新TIAD</dc:creator>
  <cp:lastModifiedBy>lenovo399</cp:lastModifiedBy>
  <cp:lastPrinted>2021-01-02T01:39:00Z</cp:lastPrinted>
  <dcterms:modified xsi:type="dcterms:W3CDTF">2024-10-31T01:06:11Z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EC497F348B6A4326A225E0B580750043_13</vt:lpwstr>
  </property>
</Properties>
</file>