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83" w:firstLineChars="200"/>
        <w:jc w:val="center"/>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永清</w:t>
      </w:r>
      <w:r>
        <w:rPr>
          <w:rFonts w:hint="eastAsia" w:ascii="方正小标宋简体" w:hAnsi="方正小标宋简体" w:eastAsia="方正小标宋简体" w:cs="方正小标宋简体"/>
          <w:b/>
          <w:sz w:val="44"/>
          <w:szCs w:val="44"/>
          <w:lang w:eastAsia="zh-CN"/>
        </w:rPr>
        <w:t>县</w:t>
      </w:r>
      <w:r>
        <w:rPr>
          <w:rFonts w:hint="eastAsia" w:ascii="方正小标宋简体" w:hAnsi="方正小标宋简体" w:eastAsia="方正小标宋简体" w:cs="方正小标宋简体"/>
          <w:b/>
          <w:sz w:val="44"/>
          <w:szCs w:val="44"/>
        </w:rPr>
        <w:t>人民代表大会常务委员会</w:t>
      </w:r>
    </w:p>
    <w:p>
      <w:pPr>
        <w:ind w:firstLine="883" w:firstLineChars="200"/>
        <w:jc w:val="center"/>
        <w:rPr>
          <w:rFonts w:hint="eastAsia" w:ascii="方正小标宋简体" w:hAnsi="方正小标宋简体" w:eastAsia="方正小标宋简体" w:cs="方正小标宋简体"/>
          <w:b/>
          <w:sz w:val="44"/>
          <w:szCs w:val="44"/>
          <w:lang w:val="en-US" w:eastAsia="zh-CN"/>
        </w:rPr>
      </w:pPr>
      <w:r>
        <w:rPr>
          <w:rFonts w:hint="eastAsia" w:ascii="方正小标宋简体" w:hAnsi="方正小标宋简体" w:eastAsia="方正小标宋简体" w:cs="方正小标宋简体"/>
          <w:b/>
          <w:sz w:val="44"/>
          <w:szCs w:val="44"/>
        </w:rPr>
        <w:t>20</w:t>
      </w:r>
      <w:r>
        <w:rPr>
          <w:rFonts w:hint="eastAsia" w:ascii="方正小标宋简体" w:hAnsi="方正小标宋简体" w:eastAsia="方正小标宋简体" w:cs="方正小标宋简体"/>
          <w:b/>
          <w:sz w:val="44"/>
          <w:szCs w:val="44"/>
          <w:lang w:val="en-US" w:eastAsia="zh-CN"/>
        </w:rPr>
        <w:t>20</w:t>
      </w:r>
      <w:bookmarkStart w:id="3" w:name="_GoBack"/>
      <w:bookmarkEnd w:id="3"/>
      <w:r>
        <w:rPr>
          <w:rFonts w:hint="eastAsia" w:ascii="方正小标宋简体" w:hAnsi="方正小标宋简体" w:eastAsia="方正小标宋简体" w:cs="方正小标宋简体"/>
          <w:b/>
          <w:sz w:val="44"/>
          <w:szCs w:val="44"/>
        </w:rPr>
        <w:t>年部门预算信息公开</w:t>
      </w:r>
      <w:r>
        <w:rPr>
          <w:rFonts w:hint="eastAsia" w:ascii="方正小标宋简体" w:hAnsi="方正小标宋简体" w:eastAsia="方正小标宋简体" w:cs="方正小标宋简体"/>
          <w:b/>
          <w:sz w:val="44"/>
          <w:szCs w:val="44"/>
          <w:lang w:eastAsia="zh-CN"/>
        </w:rPr>
        <w:t>情况说明</w:t>
      </w: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640" w:firstLineChars="200"/>
        <w:rPr>
          <w:rFonts w:ascii="Times New Roman" w:hAnsi="Times New Roman" w:eastAsia="仿宋_GB2312" w:cs="Times New Roman"/>
          <w:sz w:val="32"/>
          <w:szCs w:val="32"/>
        </w:rPr>
      </w:pPr>
      <w:r>
        <w:rPr>
          <w:rFonts w:hint="eastAsia" w:ascii="仿宋_GB2312" w:hAnsi="Times New Roman" w:eastAsia="仿宋_GB2312" w:cs="Times New Roman"/>
          <w:sz w:val="32"/>
          <w:szCs w:val="32"/>
        </w:rPr>
        <w:t>按照《预算法》、《地方预决算公开操作规程》</w:t>
      </w:r>
      <w:r>
        <w:rPr>
          <w:rFonts w:hint="eastAsia" w:ascii="仿宋_GB2312" w:hAnsi="Times New Roman" w:eastAsia="仿宋_GB2312" w:cs="Times New Roman"/>
          <w:sz w:val="32"/>
          <w:szCs w:val="32"/>
          <w:lang w:eastAsia="zh-CN"/>
        </w:rPr>
        <w:t>和《河北省省级预算公开办法》</w:t>
      </w:r>
      <w:r>
        <w:rPr>
          <w:rFonts w:hint="eastAsia" w:ascii="仿宋_GB2312" w:hAnsi="Times New Roman" w:eastAsia="仿宋_GB2312" w:cs="Times New Roman"/>
          <w:sz w:val="32"/>
          <w:szCs w:val="32"/>
        </w:rPr>
        <w:t>规定，现将永清县人民代表大会常务委员会20</w:t>
      </w:r>
      <w:r>
        <w:rPr>
          <w:rFonts w:hint="eastAsia" w:ascii="仿宋_GB2312" w:hAnsi="Times New Roman" w:eastAsia="仿宋_GB2312" w:cs="Times New Roman"/>
          <w:sz w:val="32"/>
          <w:szCs w:val="32"/>
          <w:lang w:val="en-US" w:eastAsia="zh-CN"/>
        </w:rPr>
        <w:t>20</w:t>
      </w:r>
      <w:r>
        <w:rPr>
          <w:rFonts w:hint="eastAsia" w:ascii="仿宋_GB2312" w:hAnsi="Times New Roman" w:eastAsia="仿宋_GB2312" w:cs="Times New Roman"/>
          <w:sz w:val="32"/>
          <w:szCs w:val="32"/>
        </w:rPr>
        <w:t>年部门预算公开如下：</w:t>
      </w:r>
    </w:p>
    <w:p>
      <w:pPr>
        <w:ind w:firstLine="640"/>
        <w:rPr>
          <w:rFonts w:ascii="黑体" w:hAnsi="黑体" w:eastAsia="黑体" w:cs="Times New Roman"/>
          <w:sz w:val="32"/>
          <w:szCs w:val="32"/>
        </w:rPr>
      </w:pPr>
      <w:r>
        <w:rPr>
          <w:rFonts w:hint="eastAsia" w:ascii="黑体" w:hAnsi="黑体" w:eastAsia="黑体" w:cs="Times New Roman"/>
          <w:sz w:val="32"/>
          <w:szCs w:val="32"/>
        </w:rPr>
        <w:t>一、部门职责及机构设置情况</w:t>
      </w:r>
    </w:p>
    <w:p>
      <w:pPr>
        <w:ind w:firstLine="643" w:firstLineChars="200"/>
        <w:rPr>
          <w:rFonts w:ascii="楷体_GB2312" w:hAnsi="Times New Roman" w:eastAsia="楷体_GB2312" w:cs="Times New Roman"/>
          <w:b/>
          <w:sz w:val="32"/>
          <w:szCs w:val="32"/>
        </w:rPr>
      </w:pPr>
      <w:r>
        <w:rPr>
          <w:rFonts w:hint="eastAsia" w:ascii="楷体" w:hAnsi="楷体" w:eastAsia="楷体" w:cs="Times New Roman"/>
          <w:b/>
          <w:sz w:val="32"/>
          <w:szCs w:val="32"/>
        </w:rPr>
        <w:t>部门职责</w:t>
      </w:r>
      <w:r>
        <w:rPr>
          <w:rFonts w:hint="eastAsia" w:ascii="楷体_GB2312" w:hAnsi="Times New Roman" w:eastAsia="楷体_GB2312" w:cs="Times New Roman"/>
          <w:b/>
          <w:sz w:val="32"/>
          <w:szCs w:val="32"/>
        </w:rPr>
        <w:t>：</w:t>
      </w:r>
    </w:p>
    <w:p>
      <w:pPr>
        <w:ind w:firstLine="640" w:firstLineChars="200"/>
        <w:rPr>
          <w:rFonts w:ascii="仿宋" w:hAnsi="仿宋" w:eastAsia="仿宋"/>
          <w:sz w:val="32"/>
          <w:szCs w:val="32"/>
        </w:rPr>
      </w:pPr>
      <w:r>
        <w:rPr>
          <w:rFonts w:hint="eastAsia" w:ascii="仿宋" w:hAnsi="仿宋" w:eastAsia="仿宋" w:cs="宋体"/>
          <w:sz w:val="32"/>
          <w:szCs w:val="32"/>
        </w:rPr>
        <w:t>本行政区域内宪法、法律、行政法规和上级人民代表大会及其常委会决议的遵守和执行；领导和主持县人民代表大会的选举；召集县人民代表大会会议；讨论、决定本县内的政治、经济、教育、科学、文化、卫生、环境的资源保护、民政、民族等工作的重大事项；根据县人民政府的建议，决定对本县内的国民经济发展计划、预算的部分变更；监督县人民政府、人民法院和人民检察院的工作；联系人民代表大会代表，受理人民群众对上述机关和国家工作人员的申诉和意见；撤销乡镇人民代表大会及人大主席团的不适当的决议；撤销县人民政府不适当的决议和命令；在县人民代表大会闭会期间，决定副县长的个别任免；在县长和法院院长、检察长因故不能履行职务时，从县人民政府、人民法院、人民检察院副职领导人员中决定代理的人选；任免县政府、县法院、县检察院组成人员；在县人民代表大会闭会期间，补选或罢免市人大代表；决定授予地方的荣誉称号等。</w:t>
      </w:r>
    </w:p>
    <w:p>
      <w:pPr>
        <w:autoSpaceDE w:val="0"/>
        <w:autoSpaceDN w:val="0"/>
        <w:adjustRightInd w:val="0"/>
        <w:ind w:firstLine="643" w:firstLineChars="200"/>
        <w:jc w:val="left"/>
        <w:rPr>
          <w:rFonts w:ascii="????_GBK" w:hAnsi="Times New Roman" w:eastAsia="Times New Roman"/>
          <w:b/>
          <w:sz w:val="32"/>
          <w:szCs w:val="32"/>
        </w:rPr>
      </w:pPr>
      <w:r>
        <w:rPr>
          <w:rFonts w:hint="eastAsia" w:ascii="楷体" w:hAnsi="楷体" w:eastAsia="楷体" w:cs="楷体"/>
          <w:b/>
          <w:sz w:val="32"/>
          <w:szCs w:val="32"/>
        </w:rPr>
        <w:t>机构设置：</w:t>
      </w:r>
    </w:p>
    <w:p>
      <w:pPr>
        <w:ind w:firstLine="640" w:firstLineChars="200"/>
        <w:rPr>
          <w:rFonts w:ascii="仿宋" w:hAnsi="仿宋" w:eastAsia="仿宋"/>
          <w:sz w:val="32"/>
          <w:szCs w:val="32"/>
        </w:rPr>
      </w:pPr>
      <w:r>
        <w:rPr>
          <w:rFonts w:hint="eastAsia" w:ascii="仿宋" w:hAnsi="仿宋" w:eastAsia="仿宋" w:cs="宋体"/>
          <w:sz w:val="32"/>
          <w:szCs w:val="32"/>
        </w:rPr>
        <w:t>根据上述职责，永清县人大常委会设</w:t>
      </w:r>
      <w:r>
        <w:rPr>
          <w:rFonts w:ascii="仿宋" w:hAnsi="仿宋" w:eastAsia="仿宋"/>
          <w:sz w:val="32"/>
          <w:szCs w:val="32"/>
        </w:rPr>
        <w:t>9</w:t>
      </w:r>
      <w:r>
        <w:rPr>
          <w:rFonts w:hint="eastAsia" w:ascii="仿宋" w:hAnsi="仿宋" w:eastAsia="仿宋" w:cs="宋体"/>
          <w:sz w:val="32"/>
          <w:szCs w:val="32"/>
        </w:rPr>
        <w:t>个内设机构。</w:t>
      </w:r>
      <w:r>
        <w:rPr>
          <w:rFonts w:ascii="仿宋" w:hAnsi="仿宋" w:eastAsia="仿宋"/>
          <w:sz w:val="32"/>
          <w:szCs w:val="32"/>
        </w:rPr>
        <w:t>永清县人大机关核定行政编制18名，财政全额拨款事业编制20名，其中主任1名，副主任4名。</w:t>
      </w:r>
    </w:p>
    <w:p>
      <w:pPr>
        <w:ind w:firstLine="630"/>
        <w:rPr>
          <w:rFonts w:ascii="仿宋" w:hAnsi="仿宋" w:eastAsia="仿宋"/>
          <w:b/>
          <w:bCs/>
          <w:sz w:val="32"/>
          <w:szCs w:val="32"/>
        </w:rPr>
      </w:pPr>
      <w:r>
        <w:rPr>
          <w:rFonts w:hint="eastAsia" w:ascii="仿宋" w:hAnsi="仿宋" w:eastAsia="仿宋"/>
          <w:b/>
          <w:bCs/>
          <w:sz w:val="32"/>
          <w:szCs w:val="32"/>
        </w:rPr>
        <w:t>（一）办公室</w:t>
      </w:r>
    </w:p>
    <w:p>
      <w:pPr>
        <w:ind w:firstLine="630"/>
        <w:rPr>
          <w:rFonts w:ascii="仿宋" w:hAnsi="仿宋" w:eastAsia="仿宋"/>
          <w:sz w:val="32"/>
          <w:szCs w:val="32"/>
        </w:rPr>
      </w:pPr>
      <w:r>
        <w:rPr>
          <w:rFonts w:hint="eastAsia" w:ascii="仿宋" w:hAnsi="仿宋" w:eastAsia="仿宋" w:cs="宋体"/>
          <w:sz w:val="32"/>
          <w:szCs w:val="32"/>
        </w:rPr>
        <w:t>负责县人民代表大会、常务委员会、主任会议及其它会议的筹备和会务工作；负责会议记录、整理印发会议简报和纪要并协同各科对人大常委会各项决议的执行进行催办；负责综合县人大常委会全年工作计划及年度工作总结；负责县人大常委会综合性文件、领导讲话的起草、修改、送审、印发及情况反馈；负责人大机关干部调动、考核、调资、奖惩等事宜；承办机关干部、职工离退休事宜；做好离退休干部的服务工作；负责县人大常委会文件、资料的收发、传递、催办、承办、归档立卷、保密等工作；负责县人大常委会的印章管理；负责机关行政、财务、后勤服务、职工福利、安全保卫、房产、卫生等工作；完成县人大常委会和主任会议交办的各项任务。</w:t>
      </w:r>
    </w:p>
    <w:p>
      <w:pPr>
        <w:ind w:firstLine="630"/>
        <w:rPr>
          <w:rFonts w:ascii="仿宋" w:hAnsi="仿宋" w:eastAsia="仿宋"/>
          <w:b/>
          <w:bCs/>
          <w:sz w:val="32"/>
          <w:szCs w:val="32"/>
        </w:rPr>
      </w:pPr>
      <w:r>
        <w:rPr>
          <w:rFonts w:hint="eastAsia" w:ascii="仿宋" w:hAnsi="仿宋" w:eastAsia="仿宋"/>
          <w:b/>
          <w:bCs/>
          <w:sz w:val="32"/>
          <w:szCs w:val="32"/>
        </w:rPr>
        <w:t>（二）选举人事任免科</w:t>
      </w:r>
    </w:p>
    <w:p>
      <w:pPr>
        <w:ind w:firstLine="627" w:firstLineChars="196"/>
        <w:rPr>
          <w:rFonts w:ascii="仿宋" w:hAnsi="仿宋" w:eastAsia="仿宋"/>
          <w:sz w:val="32"/>
          <w:szCs w:val="32"/>
        </w:rPr>
      </w:pPr>
      <w:r>
        <w:rPr>
          <w:rFonts w:hint="eastAsia" w:ascii="仿宋" w:hAnsi="仿宋" w:eastAsia="仿宋" w:cs="宋体"/>
          <w:sz w:val="32"/>
          <w:szCs w:val="32"/>
        </w:rPr>
        <w:t>负责承办县人大常委会、县人民政府、县法院、县检察院提交县人大常委会任免干部的手续；负责对县人大常委会交办的人民代表选举工作的具体事宜，补选出缺代表；负责联系、指导乡镇人民代表的选举、人代会的召开等项工作；负责对县人大常委会任命干部的评议定书；负责指导乡镇人大规范化建设；负责县政府提请县人大常委会审议的相关内容。搞好调查研究，提出初审意见；完成县人大常委会和主任会议交办的各项任务。</w:t>
      </w:r>
    </w:p>
    <w:p>
      <w:pPr>
        <w:rPr>
          <w:rFonts w:ascii="仿宋" w:hAnsi="仿宋" w:eastAsia="仿宋"/>
          <w:b/>
          <w:bCs/>
          <w:sz w:val="32"/>
          <w:szCs w:val="32"/>
        </w:rPr>
      </w:pPr>
      <w:r>
        <w:rPr>
          <w:rFonts w:eastAsia="楷体"/>
          <w:b/>
          <w:bCs/>
          <w:sz w:val="32"/>
          <w:szCs w:val="32"/>
        </w:rPr>
        <w:t xml:space="preserve">    </w:t>
      </w:r>
      <w:r>
        <w:rPr>
          <w:rFonts w:hint="eastAsia" w:ascii="仿宋" w:hAnsi="仿宋" w:eastAsia="仿宋"/>
          <w:b/>
          <w:bCs/>
          <w:sz w:val="32"/>
          <w:szCs w:val="32"/>
        </w:rPr>
        <w:t>（三）财政经济科</w:t>
      </w:r>
    </w:p>
    <w:p>
      <w:pPr>
        <w:ind w:firstLine="640" w:firstLineChars="200"/>
        <w:rPr>
          <w:rFonts w:ascii="仿宋" w:hAnsi="仿宋" w:eastAsia="仿宋"/>
          <w:sz w:val="32"/>
          <w:szCs w:val="32"/>
        </w:rPr>
      </w:pPr>
      <w:r>
        <w:rPr>
          <w:rFonts w:ascii="仿宋" w:hAnsi="仿宋" w:eastAsia="仿宋"/>
          <w:sz w:val="32"/>
          <w:szCs w:val="32"/>
        </w:rPr>
        <w:t>负责对县政府在财政、经济、金融等工作方面贯彻执行宪法、法律、法规、方针政策的检查和调查研究，为人大常委会依法监督提供依据；负责县政府向人大常委会送审的工业、财税、贸易、工商行政管理、金融业等方面的规定、意见草案的初审工作，为人大常委会审议做好准备；负责县政府提请人大常委会审议的财政、经济、金融等方面的议案，搞好调查研究，提出初步意见，并按常委会的意见修改、送审审议意见或决议、决定等文件；负责对全县财政、经济、金融等方面的重大问题进行调查，提出调查报告；负责对县政府在财政、经济、金融等工作方面不符合宪法、法律法规的文件决定，向县人大常委会提出纠正建议；完成县人大常委会和主任会议交办的各项任务。</w:t>
      </w:r>
    </w:p>
    <w:p>
      <w:pPr>
        <w:ind w:firstLine="643" w:firstLineChars="200"/>
        <w:rPr>
          <w:rFonts w:ascii="仿宋" w:hAnsi="仿宋" w:eastAsia="仿宋"/>
          <w:b/>
          <w:bCs/>
          <w:sz w:val="32"/>
          <w:szCs w:val="32"/>
        </w:rPr>
      </w:pPr>
      <w:r>
        <w:rPr>
          <w:rFonts w:hint="eastAsia" w:ascii="仿宋" w:hAnsi="仿宋" w:eastAsia="仿宋"/>
          <w:b/>
          <w:bCs/>
          <w:sz w:val="32"/>
          <w:szCs w:val="32"/>
        </w:rPr>
        <w:t>（四）教育科学文化卫生科</w:t>
      </w:r>
    </w:p>
    <w:p>
      <w:pPr>
        <w:ind w:firstLine="640" w:firstLineChars="200"/>
        <w:rPr>
          <w:rFonts w:ascii="仿宋" w:hAnsi="仿宋" w:eastAsia="仿宋"/>
          <w:sz w:val="32"/>
          <w:szCs w:val="32"/>
        </w:rPr>
      </w:pPr>
      <w:r>
        <w:rPr>
          <w:rFonts w:ascii="仿宋" w:hAnsi="仿宋" w:eastAsia="仿宋"/>
          <w:sz w:val="32"/>
          <w:szCs w:val="32"/>
        </w:rPr>
        <w:t>负责对县政府在教育、科技、文化、卫生体育等方面贯彻执行宪法、法律、法规、方针、政策的检查和调研，为县人大常委会依法监督提供依据；负责县政府向县人大常委会提请的教科文卫等方面的议案初审，搞好调查研究，提出初步意见，并按人大常委会的意见，起草、修改、送审审议意见，起草决议或决定；负责县政府向县人大常委会送审的有关教育、科学、文化、卫生、计划生育等方面的规定和意见草案的初审工作，为人大常委会审议做好准备；负责对全县教科文卫等工作中带有全局性问题及人民群众关心的问题进行检查和调查，提出问题报告；完成县人大常委会和主任会议交办的各项任务。</w:t>
      </w:r>
    </w:p>
    <w:p>
      <w:pPr>
        <w:pStyle w:val="2"/>
        <w:ind w:firstLine="643" w:firstLineChars="200"/>
        <w:rPr>
          <w:rFonts w:ascii="仿宋" w:hAnsi="仿宋" w:eastAsia="仿宋"/>
          <w:b/>
          <w:bCs/>
          <w:szCs w:val="32"/>
        </w:rPr>
      </w:pPr>
      <w:r>
        <w:rPr>
          <w:rFonts w:hint="eastAsia" w:ascii="仿宋" w:hAnsi="仿宋" w:eastAsia="仿宋"/>
          <w:b/>
          <w:bCs/>
          <w:szCs w:val="32"/>
        </w:rPr>
        <w:t>（五）政策法律科</w:t>
      </w:r>
    </w:p>
    <w:p>
      <w:pPr>
        <w:pStyle w:val="2"/>
        <w:ind w:firstLine="640" w:firstLineChars="200"/>
        <w:rPr>
          <w:rFonts w:ascii="仿宋" w:hAnsi="仿宋" w:eastAsia="仿宋"/>
          <w:szCs w:val="32"/>
        </w:rPr>
      </w:pPr>
      <w:r>
        <w:rPr>
          <w:rFonts w:hint="eastAsia" w:ascii="仿宋" w:hAnsi="仿宋" w:eastAsia="仿宋" w:cs="宋体"/>
        </w:rPr>
        <w:t>负责对</w:t>
      </w:r>
      <w:r>
        <w:rPr>
          <w:rFonts w:ascii="仿宋" w:hAnsi="仿宋" w:eastAsia="仿宋"/>
        </w:rPr>
        <w:t>“</w:t>
      </w:r>
      <w:r>
        <w:rPr>
          <w:rFonts w:hint="eastAsia" w:ascii="仿宋" w:hAnsi="仿宋" w:eastAsia="仿宋" w:cs="宋体"/>
        </w:rPr>
        <w:t>一府两院</w:t>
      </w:r>
      <w:r>
        <w:rPr>
          <w:rFonts w:ascii="仿宋" w:hAnsi="仿宋" w:eastAsia="仿宋"/>
        </w:rPr>
        <w:t>”</w:t>
      </w:r>
      <w:r>
        <w:rPr>
          <w:rFonts w:hint="eastAsia" w:ascii="仿宋" w:hAnsi="仿宋" w:eastAsia="仿宋" w:cs="宋体"/>
        </w:rPr>
        <w:t>在司法、检察、公安、安全等工作方面贯彻执行有关法律、法规情况的检查和调查，为人大常委会依法监督提供依据；负责</w:t>
      </w:r>
      <w:r>
        <w:rPr>
          <w:rFonts w:ascii="仿宋" w:hAnsi="仿宋" w:eastAsia="仿宋"/>
        </w:rPr>
        <w:t>“</w:t>
      </w:r>
      <w:r>
        <w:rPr>
          <w:rFonts w:hint="eastAsia" w:ascii="仿宋" w:hAnsi="仿宋" w:eastAsia="仿宋" w:cs="宋体"/>
        </w:rPr>
        <w:t>一府两院</w:t>
      </w:r>
      <w:r>
        <w:rPr>
          <w:rFonts w:ascii="仿宋" w:hAnsi="仿宋" w:eastAsia="仿宋"/>
        </w:rPr>
        <w:t>”</w:t>
      </w:r>
      <w:r>
        <w:rPr>
          <w:rFonts w:hint="eastAsia" w:ascii="仿宋" w:hAnsi="仿宋" w:eastAsia="仿宋" w:cs="宋体"/>
        </w:rPr>
        <w:t>向县人大常委会提请的法制工作方面的议案初审，搞好调查研究提出初步意见并按常委会意见，起草、修改、送审审议意见、决议或决定；</w:t>
      </w:r>
      <w:r>
        <w:rPr>
          <w:rFonts w:hint="eastAsia" w:ascii="仿宋" w:hAnsi="仿宋" w:eastAsia="仿宋" w:cs="宋体"/>
          <w:szCs w:val="32"/>
        </w:rPr>
        <w:t>负责</w:t>
      </w:r>
      <w:r>
        <w:rPr>
          <w:rFonts w:ascii="仿宋" w:hAnsi="仿宋" w:eastAsia="仿宋"/>
          <w:szCs w:val="32"/>
        </w:rPr>
        <w:t>“</w:t>
      </w:r>
      <w:r>
        <w:rPr>
          <w:rFonts w:hint="eastAsia" w:ascii="仿宋" w:hAnsi="仿宋" w:eastAsia="仿宋" w:cs="宋体"/>
          <w:szCs w:val="32"/>
        </w:rPr>
        <w:t>一府两院</w:t>
      </w:r>
      <w:r>
        <w:rPr>
          <w:rFonts w:ascii="仿宋" w:hAnsi="仿宋" w:eastAsia="仿宋"/>
          <w:szCs w:val="32"/>
        </w:rPr>
        <w:t>”</w:t>
      </w:r>
      <w:r>
        <w:rPr>
          <w:rFonts w:hint="eastAsia" w:ascii="仿宋" w:hAnsi="仿宋" w:eastAsia="仿宋" w:cs="宋体"/>
          <w:szCs w:val="32"/>
        </w:rPr>
        <w:t>向人大常委会送审的有关法制方面的规定、意见草案的初审工作，为县人大常委会审议做好准备；负责对公安、司法等工作中带有全局性的问题以及人民群众关注的重要问题进行检查、调查，写出调查报告；完成县人大常委会和主任会议交办的各项任务。</w:t>
      </w:r>
    </w:p>
    <w:p>
      <w:pPr>
        <w:pStyle w:val="2"/>
        <w:ind w:firstLine="643" w:firstLineChars="200"/>
        <w:rPr>
          <w:rFonts w:ascii="仿宋" w:hAnsi="仿宋" w:eastAsia="仿宋"/>
          <w:b/>
          <w:bCs/>
          <w:szCs w:val="32"/>
        </w:rPr>
      </w:pPr>
      <w:r>
        <w:rPr>
          <w:rFonts w:hint="eastAsia" w:ascii="仿宋" w:hAnsi="仿宋" w:eastAsia="仿宋"/>
          <w:b/>
          <w:bCs/>
          <w:szCs w:val="32"/>
        </w:rPr>
        <w:t>（六）农村经济科</w:t>
      </w:r>
    </w:p>
    <w:p>
      <w:pPr>
        <w:ind w:firstLine="640" w:firstLineChars="200"/>
        <w:rPr>
          <w:rFonts w:ascii="仿宋" w:hAnsi="仿宋" w:eastAsia="仿宋"/>
          <w:sz w:val="32"/>
          <w:szCs w:val="32"/>
        </w:rPr>
      </w:pPr>
      <w:r>
        <w:rPr>
          <w:rFonts w:hint="eastAsia" w:ascii="仿宋" w:hAnsi="仿宋" w:eastAsia="仿宋" w:cs="宋体"/>
          <w:sz w:val="32"/>
          <w:szCs w:val="32"/>
        </w:rPr>
        <w:t>负责对县政府在农业、农村经办济工作方面贯彻执行宪法、法律、法规、方针政策的检查和调查研究，为人大常委会依法监督提供依据；负责对县政府提请的有关农业、农村工作的规定、意见草案的初审工作，为人大常委会审议做好准备；负责县政府提请人大常委会审议的农业、农村工作方面的报告及方案，经调查研究提出初步意见，并视需要起草决议草案；负责对全县农业和农村工作中带全局性重要问题，以及群众关心的问题进行检查和调查，提出调查报告；负责县政府在农业、农村工作方面不符合宪法、法律、法规的文件、决定向县人大常委会提出纠正建议；完成县人大常委会和主任会议交办的各项任务。</w:t>
      </w:r>
    </w:p>
    <w:p>
      <w:pPr>
        <w:pStyle w:val="2"/>
        <w:ind w:firstLine="643" w:firstLineChars="200"/>
        <w:rPr>
          <w:rFonts w:ascii="仿宋" w:hAnsi="仿宋" w:eastAsia="仿宋"/>
          <w:b/>
          <w:bCs/>
          <w:szCs w:val="32"/>
        </w:rPr>
      </w:pPr>
      <w:r>
        <w:rPr>
          <w:rFonts w:hint="eastAsia" w:ascii="仿宋" w:hAnsi="仿宋" w:eastAsia="仿宋"/>
          <w:b/>
          <w:bCs/>
          <w:szCs w:val="32"/>
        </w:rPr>
        <w:t>（七）代表联络科</w:t>
      </w:r>
    </w:p>
    <w:p>
      <w:pPr>
        <w:pStyle w:val="2"/>
        <w:ind w:firstLine="640" w:firstLineChars="200"/>
        <w:rPr>
          <w:rFonts w:ascii="仿宋" w:hAnsi="仿宋" w:eastAsia="仿宋"/>
          <w:szCs w:val="32"/>
        </w:rPr>
      </w:pPr>
      <w:r>
        <w:rPr>
          <w:rFonts w:hint="eastAsia" w:ascii="仿宋" w:hAnsi="仿宋" w:eastAsia="仿宋" w:cs="宋体"/>
        </w:rPr>
        <w:t>负责联系县人大代表，组织安排县人大代表开展执法检查、视察、议政活动；负责整理县人民代表大会代表所提议案、建议、批评和意见，及时转交县政府。做好督办工作，及时答复代表；负责受理县人大代表的来信来访；随时完成掌握代表的变动情况，配合选举人事科做好补选出缺代表的工作；负责本科工作计划的制定和组织实施，起草涉及本科工作职责内的会议通知、会议文件、领导讲话稿及撰写信息简报等；</w:t>
      </w:r>
      <w:r>
        <w:rPr>
          <w:rFonts w:hint="eastAsia" w:ascii="仿宋" w:hAnsi="仿宋" w:eastAsia="仿宋" w:cs="宋体"/>
          <w:szCs w:val="32"/>
        </w:rPr>
        <w:t>完成县人大常委会和主任会议交办的各项任务。</w:t>
      </w:r>
    </w:p>
    <w:p>
      <w:pPr>
        <w:pStyle w:val="2"/>
        <w:ind w:firstLine="643" w:firstLineChars="200"/>
        <w:rPr>
          <w:rFonts w:ascii="仿宋" w:hAnsi="仿宋" w:eastAsia="仿宋"/>
          <w:b/>
          <w:bCs/>
          <w:szCs w:val="32"/>
        </w:rPr>
      </w:pPr>
      <w:r>
        <w:rPr>
          <w:rFonts w:hint="eastAsia" w:ascii="仿宋" w:hAnsi="仿宋" w:eastAsia="仿宋"/>
          <w:b/>
          <w:bCs/>
          <w:szCs w:val="32"/>
        </w:rPr>
        <w:t>（八）城乡建设与环境资源保护科</w:t>
      </w:r>
    </w:p>
    <w:p>
      <w:pPr>
        <w:ind w:firstLine="640" w:firstLineChars="200"/>
        <w:rPr>
          <w:rFonts w:ascii="仿宋" w:hAnsi="仿宋" w:eastAsia="仿宋"/>
          <w:sz w:val="32"/>
          <w:szCs w:val="32"/>
        </w:rPr>
      </w:pPr>
      <w:r>
        <w:rPr>
          <w:rFonts w:hint="eastAsia" w:ascii="仿宋" w:hAnsi="仿宋" w:eastAsia="仿宋" w:cs="宋体"/>
          <w:sz w:val="32"/>
          <w:szCs w:val="32"/>
        </w:rPr>
        <w:t>负责调查了解有关城建、环保方面的法律、法规在我县的实施情况；检查有关单位对上级和本级人大及其常委会通过有关城建、环保方面的决议、决定执行情况；草拟常委会提出的与本委有关的议案处理意见，为常委会审议城建、环保的议题进行调查研究，提供有关资料，提出报告和建议；对常委会交办的城建、环保方面的议案、质询案提出处理意见或报告；联系城建、环保等部门的代表，了解反映他们的意见和建议，督促有关部门及时办理并做好反馈工作；完成县人大常委会和主任会议交办的各项任务。</w:t>
      </w:r>
    </w:p>
    <w:p>
      <w:pPr>
        <w:pStyle w:val="2"/>
        <w:ind w:firstLine="643" w:firstLineChars="200"/>
        <w:rPr>
          <w:rFonts w:ascii="仿宋" w:hAnsi="仿宋" w:eastAsia="仿宋"/>
          <w:b/>
          <w:bCs/>
          <w:szCs w:val="32"/>
        </w:rPr>
      </w:pPr>
      <w:r>
        <w:rPr>
          <w:rFonts w:hint="eastAsia" w:ascii="仿宋" w:hAnsi="仿宋" w:eastAsia="仿宋"/>
          <w:b/>
          <w:bCs/>
          <w:szCs w:val="32"/>
        </w:rPr>
        <w:t>（九）信访办公室</w:t>
      </w:r>
    </w:p>
    <w:p>
      <w:pPr>
        <w:ind w:firstLine="640" w:firstLineChars="200"/>
        <w:rPr>
          <w:rFonts w:ascii="仿宋" w:hAnsi="仿宋" w:eastAsia="仿宋"/>
          <w:sz w:val="32"/>
          <w:szCs w:val="32"/>
        </w:rPr>
      </w:pPr>
      <w:r>
        <w:rPr>
          <w:rFonts w:hint="eastAsia" w:ascii="仿宋" w:hAnsi="仿宋" w:eastAsia="仿宋" w:cs="宋体"/>
          <w:sz w:val="32"/>
          <w:szCs w:val="32"/>
        </w:rPr>
        <w:t>受理信访人来信来访；承办上级人大常委会批转、交办的信访事项；向有关机关、单位转办、交办、督办信访事项；协调处理有关信访事项；研究和分析信访情况，及时向常委会或者主任会议报告，提出解决问题的建议；向信访人宣传法律、法规和政策，做好教育和疏导工作；建立信访档案资料和有关工作制度；完成县人大常委会和主任会议交办的各项任务。</w:t>
      </w:r>
    </w:p>
    <w:p>
      <w:pPr>
        <w:autoSpaceDE w:val="0"/>
        <w:autoSpaceDN w:val="0"/>
        <w:adjustRightInd w:val="0"/>
        <w:ind w:firstLine="643" w:firstLineChars="200"/>
        <w:jc w:val="left"/>
        <w:rPr>
          <w:rFonts w:ascii="楷体_GB2312" w:hAnsi="Times New Roman" w:eastAsia="楷体_GB2312" w:cs="Times New Roman"/>
          <w:b/>
          <w:sz w:val="32"/>
          <w:szCs w:val="32"/>
        </w:rPr>
      </w:pPr>
      <w:r>
        <w:rPr>
          <w:rFonts w:hint="eastAsia" w:ascii="楷体_GB2312" w:hAnsi="Times New Roman" w:eastAsia="楷体_GB2312" w:cs="Times New Roman"/>
          <w:b/>
          <w:sz w:val="32"/>
          <w:szCs w:val="32"/>
        </w:rPr>
        <w:t>机构设置：</w:t>
      </w:r>
    </w:p>
    <w:p>
      <w:pPr>
        <w:jc w:val="center"/>
        <w:outlineLvl w:val="0"/>
        <w:rPr>
          <w:rFonts w:ascii="Times New Roman" w:hAnsi="Times New Roman" w:eastAsia="方正小标宋_GBK" w:cs="Times New Roman"/>
          <w:sz w:val="32"/>
          <w:szCs w:val="24"/>
        </w:rPr>
      </w:pPr>
      <w:r>
        <w:rPr>
          <w:rFonts w:ascii="Times New Roman" w:hAnsi="Times New Roman" w:eastAsia="方正小标宋_GBK" w:cs="Times New Roman"/>
          <w:sz w:val="32"/>
          <w:szCs w:val="24"/>
        </w:rPr>
        <w:t>部门</w:t>
      </w:r>
      <w:r>
        <w:rPr>
          <w:rFonts w:hint="eastAsia" w:ascii="Times New Roman" w:hAnsi="Times New Roman" w:eastAsia="方正小标宋_GBK" w:cs="Times New Roman"/>
          <w:sz w:val="32"/>
          <w:szCs w:val="24"/>
        </w:rPr>
        <w:t>机构设置情况</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836"/>
        <w:gridCol w:w="1290"/>
        <w:gridCol w:w="1410"/>
        <w:gridCol w:w="226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5836" w:type="dxa"/>
            <w:vMerge w:val="restart"/>
            <w:noWrap w:val="0"/>
            <w:vAlign w:val="center"/>
          </w:tcPr>
          <w:p>
            <w:pPr>
              <w:spacing w:line="300" w:lineRule="exact"/>
              <w:jc w:val="center"/>
              <w:rPr>
                <w:rFonts w:ascii="Times New Roman" w:hAnsi="Times New Roman" w:eastAsia="方正书宋_GBK" w:cs="Times New Roman"/>
                <w:b/>
                <w:szCs w:val="24"/>
              </w:rPr>
            </w:pPr>
            <w:r>
              <w:rPr>
                <w:rFonts w:ascii="Times New Roman" w:hAnsi="Times New Roman" w:eastAsia="方正书宋_GBK" w:cs="Times New Roman"/>
                <w:b/>
                <w:szCs w:val="24"/>
              </w:rPr>
              <w:t>单位名称</w:t>
            </w:r>
          </w:p>
        </w:tc>
        <w:tc>
          <w:tcPr>
            <w:tcW w:w="1290" w:type="dxa"/>
            <w:vMerge w:val="restart"/>
            <w:noWrap w:val="0"/>
            <w:vAlign w:val="center"/>
          </w:tcPr>
          <w:p>
            <w:pPr>
              <w:spacing w:line="300" w:lineRule="exact"/>
              <w:jc w:val="center"/>
              <w:rPr>
                <w:rFonts w:ascii="Times New Roman" w:hAnsi="Times New Roman" w:eastAsia="方正书宋_GBK" w:cs="Times New Roman"/>
                <w:b/>
                <w:szCs w:val="24"/>
              </w:rPr>
            </w:pPr>
            <w:r>
              <w:rPr>
                <w:rFonts w:ascii="Times New Roman" w:hAnsi="Times New Roman" w:eastAsia="方正书宋_GBK" w:cs="Times New Roman"/>
                <w:b/>
                <w:szCs w:val="24"/>
              </w:rPr>
              <w:t>单位性质</w:t>
            </w:r>
          </w:p>
        </w:tc>
        <w:tc>
          <w:tcPr>
            <w:tcW w:w="1410" w:type="dxa"/>
            <w:vMerge w:val="restart"/>
            <w:noWrap w:val="0"/>
            <w:vAlign w:val="center"/>
          </w:tcPr>
          <w:p>
            <w:pPr>
              <w:spacing w:line="300" w:lineRule="exact"/>
              <w:jc w:val="center"/>
              <w:rPr>
                <w:rFonts w:ascii="Times New Roman" w:hAnsi="Times New Roman" w:eastAsia="方正书宋_GBK" w:cs="Times New Roman"/>
                <w:b/>
                <w:szCs w:val="24"/>
              </w:rPr>
            </w:pPr>
            <w:r>
              <w:rPr>
                <w:rFonts w:ascii="Times New Roman" w:hAnsi="Times New Roman" w:eastAsia="方正书宋_GBK" w:cs="Times New Roman"/>
                <w:b/>
                <w:szCs w:val="24"/>
              </w:rPr>
              <w:t>单位规格</w:t>
            </w:r>
          </w:p>
        </w:tc>
        <w:tc>
          <w:tcPr>
            <w:tcW w:w="2265" w:type="dxa"/>
            <w:vMerge w:val="restart"/>
            <w:noWrap w:val="0"/>
            <w:vAlign w:val="center"/>
          </w:tcPr>
          <w:p>
            <w:pPr>
              <w:spacing w:line="300" w:lineRule="exact"/>
              <w:jc w:val="center"/>
              <w:rPr>
                <w:rFonts w:ascii="Times New Roman" w:hAnsi="Times New Roman" w:eastAsia="方正书宋_GBK" w:cs="Times New Roman"/>
                <w:b/>
                <w:szCs w:val="24"/>
              </w:rPr>
            </w:pPr>
            <w:r>
              <w:rPr>
                <w:rFonts w:ascii="Times New Roman" w:hAnsi="Times New Roman" w:eastAsia="方正书宋_GBK" w:cs="Times New Roman"/>
                <w:b/>
                <w:szCs w:val="24"/>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5836" w:type="dxa"/>
            <w:vMerge w:val="continue"/>
            <w:noWrap w:val="0"/>
            <w:vAlign w:val="center"/>
          </w:tcPr>
          <w:p>
            <w:pPr>
              <w:spacing w:line="300" w:lineRule="exact"/>
              <w:jc w:val="left"/>
              <w:outlineLvl w:val="0"/>
              <w:rPr>
                <w:rFonts w:ascii="Times New Roman" w:hAnsi="Times New Roman" w:eastAsia="宋体" w:cs="Times New Roman"/>
                <w:szCs w:val="24"/>
              </w:rPr>
            </w:pPr>
          </w:p>
        </w:tc>
        <w:tc>
          <w:tcPr>
            <w:tcW w:w="1290" w:type="dxa"/>
            <w:vMerge w:val="continue"/>
            <w:noWrap w:val="0"/>
            <w:vAlign w:val="center"/>
          </w:tcPr>
          <w:p>
            <w:pPr>
              <w:spacing w:line="300" w:lineRule="exact"/>
              <w:jc w:val="left"/>
              <w:outlineLvl w:val="0"/>
              <w:rPr>
                <w:rFonts w:ascii="Times New Roman" w:hAnsi="Times New Roman" w:eastAsia="宋体" w:cs="Times New Roman"/>
                <w:szCs w:val="24"/>
              </w:rPr>
            </w:pPr>
          </w:p>
        </w:tc>
        <w:tc>
          <w:tcPr>
            <w:tcW w:w="1410" w:type="dxa"/>
            <w:vMerge w:val="continue"/>
            <w:noWrap w:val="0"/>
            <w:vAlign w:val="center"/>
          </w:tcPr>
          <w:p>
            <w:pPr>
              <w:spacing w:line="300" w:lineRule="exact"/>
              <w:jc w:val="left"/>
              <w:outlineLvl w:val="0"/>
              <w:rPr>
                <w:rFonts w:ascii="Times New Roman" w:hAnsi="Times New Roman" w:eastAsia="宋体" w:cs="Times New Roman"/>
                <w:szCs w:val="24"/>
              </w:rPr>
            </w:pPr>
          </w:p>
        </w:tc>
        <w:tc>
          <w:tcPr>
            <w:tcW w:w="2265" w:type="dxa"/>
            <w:vMerge w:val="continue"/>
            <w:noWrap w:val="0"/>
            <w:vAlign w:val="center"/>
          </w:tcPr>
          <w:p>
            <w:pPr>
              <w:spacing w:line="300" w:lineRule="exact"/>
              <w:jc w:val="left"/>
              <w:outlineLvl w:val="0"/>
              <w:rPr>
                <w:rFonts w:ascii="Times New Roman" w:hAnsi="Times New Roman" w:eastAsia="宋体" w:cs="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正处级</w:t>
            </w:r>
          </w:p>
        </w:tc>
        <w:tc>
          <w:tcPr>
            <w:tcW w:w="2265" w:type="dxa"/>
            <w:noWrap w:val="0"/>
            <w:vAlign w:val="center"/>
          </w:tcPr>
          <w:p>
            <w:pPr>
              <w:spacing w:line="300" w:lineRule="exact"/>
              <w:jc w:val="center"/>
              <w:rPr>
                <w:rFonts w:hint="eastAsia" w:ascii="Times New Roman" w:hAnsi="Times New Roman" w:eastAsia="方正书宋_GBK" w:cs="Times New Roman"/>
                <w:szCs w:val="24"/>
                <w:lang w:eastAsia="zh-CN"/>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永清县人民代表大会常务委员会办公室</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永清县人民代表大会常务委员会选举人事任免科</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永清县人民代表大会常务委员会财政经济科</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永清县人民代表大会常务委员会教育科学文化卫生科</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永清县人民代表大会常务委员会政策法律科</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永清县人民代表大会常务委员会农村经济科</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永清县人民代表大会常务委员会代表联络科</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永清县人民代表大会常务委员会城乡建设与环境资源保护科</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5836" w:type="dxa"/>
            <w:noWrap w:val="0"/>
            <w:vAlign w:val="center"/>
          </w:tcPr>
          <w:p>
            <w:pPr>
              <w:spacing w:line="300" w:lineRule="exact"/>
              <w:jc w:val="left"/>
              <w:rPr>
                <w:rFonts w:ascii="Times New Roman" w:hAnsi="Times New Roman" w:eastAsia="方正书宋_GBK" w:cs="Times New Roman"/>
                <w:szCs w:val="24"/>
              </w:rPr>
            </w:pPr>
            <w:r>
              <w:rPr>
                <w:rFonts w:hint="eastAsia" w:ascii="Times New Roman" w:hAnsi="Times New Roman" w:eastAsia="方正书宋_GBK"/>
                <w:szCs w:val="24"/>
              </w:rPr>
              <w:t>永清县人民代表大会常务委员会信访办公室</w:t>
            </w:r>
          </w:p>
        </w:tc>
        <w:tc>
          <w:tcPr>
            <w:tcW w:w="129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行政</w:t>
            </w:r>
          </w:p>
        </w:tc>
        <w:tc>
          <w:tcPr>
            <w:tcW w:w="1410"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正科级</w:t>
            </w:r>
          </w:p>
        </w:tc>
        <w:tc>
          <w:tcPr>
            <w:tcW w:w="2265" w:type="dxa"/>
            <w:noWrap w:val="0"/>
            <w:vAlign w:val="center"/>
          </w:tcPr>
          <w:p>
            <w:pPr>
              <w:spacing w:line="300" w:lineRule="exact"/>
              <w:jc w:val="center"/>
              <w:rPr>
                <w:rFonts w:ascii="Times New Roman" w:hAnsi="Times New Roman" w:eastAsia="方正书宋_GBK" w:cs="Times New Roman"/>
                <w:szCs w:val="24"/>
              </w:rPr>
            </w:pPr>
            <w:r>
              <w:rPr>
                <w:rFonts w:hint="eastAsia" w:ascii="Times New Roman" w:hAnsi="Times New Roman" w:eastAsia="方正书宋_GBK"/>
                <w:szCs w:val="24"/>
              </w:rPr>
              <w:t>财政拨款</w:t>
            </w:r>
            <w:r>
              <w:rPr>
                <w:rFonts w:hint="eastAsia" w:ascii="Times New Roman" w:hAnsi="Times New Roman" w:eastAsia="方正书宋_GBK"/>
                <w:szCs w:val="24"/>
                <w:lang w:eastAsia="zh-CN"/>
              </w:rPr>
              <w:t>（行政）</w:t>
            </w:r>
          </w:p>
        </w:tc>
      </w:tr>
    </w:tbl>
    <w:p>
      <w:pPr>
        <w:spacing w:line="584" w:lineRule="exact"/>
        <w:ind w:firstLine="640" w:firstLineChars="200"/>
        <w:rPr>
          <w:rFonts w:ascii="Times New Roman" w:hAnsi="Times New Roman" w:eastAsia="仿宋" w:cs="Times New Roman"/>
          <w:color w:val="FF0000"/>
          <w:sz w:val="32"/>
          <w:szCs w:val="32"/>
        </w:rPr>
      </w:pPr>
    </w:p>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二、部门预算安排的总体情况</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w:t>
      </w:r>
      <w:r>
        <w:rPr>
          <w:rFonts w:hint="eastAsia" w:ascii="Times New Roman" w:hAnsi="Times New Roman" w:eastAsia="仿宋_GB2312" w:cs="Times New Roman"/>
          <w:sz w:val="32"/>
          <w:szCs w:val="32"/>
        </w:rPr>
        <w:t>县</w:t>
      </w:r>
      <w:r>
        <w:rPr>
          <w:rFonts w:ascii="Times New Roman" w:hAnsi="Times New Roman" w:eastAsia="仿宋_GB2312" w:cs="Times New Roman"/>
          <w:sz w:val="32"/>
          <w:szCs w:val="32"/>
        </w:rPr>
        <w:t>部门预算的编制实行综合预算制度，即全部收入和支出都反映在预算中。永清县</w:t>
      </w:r>
      <w:r>
        <w:rPr>
          <w:rFonts w:hint="eastAsia" w:ascii="Times New Roman" w:hAnsi="Times New Roman" w:eastAsia="仿宋_GB2312" w:cs="Times New Roman"/>
          <w:sz w:val="32"/>
          <w:szCs w:val="32"/>
          <w:lang w:eastAsia="zh-CN"/>
        </w:rPr>
        <w:t>人民代表大会常务委员会</w:t>
      </w:r>
      <w:r>
        <w:rPr>
          <w:rFonts w:ascii="Times New Roman" w:hAnsi="Times New Roman" w:eastAsia="仿宋_GB2312" w:cs="Times New Roman"/>
          <w:sz w:val="32"/>
          <w:szCs w:val="32"/>
        </w:rPr>
        <w:t>机关及所属事业单位的收支包含在部门预算中。</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1、收入说明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反映本部门当年全部收入。2020年预算收入</w:t>
      </w:r>
      <w:r>
        <w:rPr>
          <w:rFonts w:hint="eastAsia" w:ascii="Times New Roman" w:hAnsi="Times New Roman" w:eastAsia="仿宋_GB2312" w:cs="Times New Roman"/>
          <w:sz w:val="32"/>
          <w:szCs w:val="32"/>
          <w:lang w:val="en-US" w:eastAsia="zh-CN"/>
        </w:rPr>
        <w:t>1105.90</w:t>
      </w:r>
      <w:r>
        <w:rPr>
          <w:rFonts w:ascii="Times New Roman" w:hAnsi="Times New Roman" w:eastAsia="仿宋_GB2312" w:cs="Times New Roman"/>
          <w:sz w:val="32"/>
          <w:szCs w:val="32"/>
        </w:rPr>
        <w:t>万元，其中：一般公共预算收入</w:t>
      </w:r>
      <w:r>
        <w:rPr>
          <w:rFonts w:hint="eastAsia" w:ascii="Times New Roman" w:hAnsi="Times New Roman" w:eastAsia="仿宋_GB2312" w:cs="Times New Roman"/>
          <w:sz w:val="32"/>
          <w:szCs w:val="32"/>
          <w:lang w:val="en-US" w:eastAsia="zh-CN"/>
        </w:rPr>
        <w:t>1105.90</w:t>
      </w:r>
      <w:r>
        <w:rPr>
          <w:rFonts w:ascii="Times New Roman" w:hAnsi="Times New Roman" w:eastAsia="仿宋_GB2312" w:cs="Times New Roman"/>
          <w:sz w:val="32"/>
          <w:szCs w:val="32"/>
        </w:rPr>
        <w:t>万元，基金预算收入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万元，财政专户核拨收入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万元，其他来源收入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2、支出说明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收支预算总表支出栏、基本支出表、项目支出表按经济分类和支出功能分类科目编制，反映永清县</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020年度部门预算中支出预算的总体情况。2020年支出预算</w:t>
      </w:r>
      <w:r>
        <w:rPr>
          <w:rFonts w:hint="eastAsia" w:ascii="Times New Roman" w:hAnsi="Times New Roman" w:eastAsia="仿宋_GB2312" w:cs="Times New Roman"/>
          <w:sz w:val="32"/>
          <w:szCs w:val="32"/>
          <w:lang w:val="en-US" w:eastAsia="zh-CN"/>
        </w:rPr>
        <w:t>1105.90</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val="en-US" w:eastAsia="zh-CN"/>
        </w:rPr>
        <w:t>898.79</w:t>
      </w:r>
      <w:r>
        <w:rPr>
          <w:rFonts w:ascii="Times New Roman" w:hAnsi="Times New Roman" w:eastAsia="仿宋_GB2312" w:cs="Times New Roman"/>
          <w:sz w:val="32"/>
          <w:szCs w:val="32"/>
        </w:rPr>
        <w:t>万元，包括人员经费</w:t>
      </w:r>
      <w:r>
        <w:rPr>
          <w:rFonts w:hint="eastAsia" w:ascii="Times New Roman" w:hAnsi="Times New Roman" w:eastAsia="仿宋_GB2312" w:cs="Times New Roman"/>
          <w:sz w:val="32"/>
          <w:szCs w:val="32"/>
          <w:lang w:val="en-US" w:eastAsia="zh-CN"/>
        </w:rPr>
        <w:t>806.64</w:t>
      </w:r>
      <w:r>
        <w:rPr>
          <w:rFonts w:ascii="Times New Roman" w:hAnsi="Times New Roman" w:eastAsia="仿宋_GB2312" w:cs="Times New Roman"/>
          <w:sz w:val="32"/>
          <w:szCs w:val="32"/>
        </w:rPr>
        <w:t>万元和日常公用经费</w:t>
      </w:r>
      <w:r>
        <w:rPr>
          <w:rFonts w:hint="eastAsia" w:ascii="Times New Roman" w:hAnsi="Times New Roman" w:eastAsia="仿宋_GB2312" w:cs="Times New Roman"/>
          <w:sz w:val="32"/>
          <w:szCs w:val="32"/>
          <w:lang w:val="en-US" w:eastAsia="zh-CN"/>
        </w:rPr>
        <w:t>92.15</w:t>
      </w:r>
      <w:r>
        <w:rPr>
          <w:rFonts w:ascii="Times New Roman" w:hAnsi="Times New Roman" w:eastAsia="仿宋_GB2312" w:cs="Times New Roman"/>
          <w:sz w:val="32"/>
          <w:szCs w:val="32"/>
        </w:rPr>
        <w:t>万元；项目支出</w:t>
      </w:r>
      <w:r>
        <w:rPr>
          <w:rFonts w:hint="eastAsia" w:ascii="Times New Roman" w:hAnsi="Times New Roman" w:eastAsia="仿宋_GB2312" w:cs="Times New Roman"/>
          <w:sz w:val="32"/>
          <w:szCs w:val="32"/>
          <w:lang w:val="en-US" w:eastAsia="zh-CN"/>
        </w:rPr>
        <w:t>207.11</w:t>
      </w:r>
      <w:r>
        <w:rPr>
          <w:rFonts w:ascii="Times New Roman" w:hAnsi="Times New Roman" w:eastAsia="仿宋_GB2312" w:cs="Times New Roman"/>
          <w:sz w:val="32"/>
          <w:szCs w:val="32"/>
        </w:rPr>
        <w:t>万元，包括本级支出</w:t>
      </w:r>
      <w:r>
        <w:rPr>
          <w:rFonts w:hint="eastAsia" w:ascii="Times New Roman" w:hAnsi="Times New Roman" w:eastAsia="仿宋_GB2312" w:cs="Times New Roman"/>
          <w:sz w:val="32"/>
          <w:szCs w:val="32"/>
          <w:lang w:val="en-US" w:eastAsia="zh-CN"/>
        </w:rPr>
        <w:t>1105.90</w:t>
      </w:r>
      <w:r>
        <w:rPr>
          <w:rFonts w:ascii="Times New Roman" w:hAnsi="Times New Roman" w:eastAsia="仿宋_GB2312" w:cs="Times New Roman"/>
          <w:sz w:val="32"/>
          <w:szCs w:val="32"/>
        </w:rPr>
        <w:t>万元，主要为</w:t>
      </w:r>
      <w:r>
        <w:rPr>
          <w:rFonts w:hint="eastAsia" w:ascii="仿宋_GB2312" w:hAnsi="仿宋" w:eastAsia="仿宋_GB2312"/>
          <w:sz w:val="32"/>
          <w:szCs w:val="32"/>
        </w:rPr>
        <w:t>人大</w:t>
      </w:r>
      <w:r>
        <w:rPr>
          <w:rFonts w:hint="eastAsia" w:ascii="仿宋_GB2312" w:hAnsi="仿宋" w:eastAsia="仿宋_GB2312"/>
          <w:sz w:val="32"/>
          <w:szCs w:val="32"/>
          <w:lang w:eastAsia="zh-CN"/>
        </w:rPr>
        <w:t>代表</w:t>
      </w:r>
      <w:r>
        <w:rPr>
          <w:rFonts w:hint="eastAsia" w:ascii="仿宋_GB2312" w:hAnsi="仿宋" w:eastAsia="仿宋_GB2312"/>
          <w:sz w:val="32"/>
          <w:szCs w:val="32"/>
        </w:rPr>
        <w:t>公</w:t>
      </w:r>
      <w:r>
        <w:rPr>
          <w:rFonts w:hint="eastAsia" w:ascii="仿宋_GB2312" w:hAnsi="仿宋" w:eastAsia="仿宋_GB2312"/>
          <w:sz w:val="32"/>
          <w:szCs w:val="32"/>
          <w:lang w:eastAsia="zh-CN"/>
        </w:rPr>
        <w:t>务</w:t>
      </w:r>
      <w:r>
        <w:rPr>
          <w:rFonts w:hint="eastAsia" w:ascii="仿宋_GB2312" w:hAnsi="仿宋" w:eastAsia="仿宋_GB2312"/>
          <w:sz w:val="32"/>
          <w:szCs w:val="32"/>
        </w:rPr>
        <w:t>运转、大型会议和活动组织安排、机关维修</w:t>
      </w:r>
      <w:r>
        <w:rPr>
          <w:rFonts w:hint="eastAsia" w:ascii="仿宋_GB2312" w:hAnsi="Times New Roman" w:eastAsia="仿宋_GB2312" w:cs="Times New Roman"/>
          <w:sz w:val="32"/>
          <w:szCs w:val="32"/>
        </w:rPr>
        <w:t>等。</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3、比上年增减情况</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2020年预算收支</w:t>
      </w:r>
      <w:r>
        <w:rPr>
          <w:rFonts w:hint="eastAsia" w:ascii="Times New Roman" w:hAnsi="Times New Roman" w:eastAsia="仿宋_GB2312" w:cs="Times New Roman"/>
          <w:sz w:val="32"/>
          <w:szCs w:val="32"/>
          <w:lang w:val="en-US" w:eastAsia="zh-CN"/>
        </w:rPr>
        <w:t>1105.90</w:t>
      </w:r>
      <w:r>
        <w:rPr>
          <w:rFonts w:ascii="Times New Roman" w:hAnsi="Times New Roman" w:eastAsia="仿宋_GB2312" w:cs="Times New Roman"/>
          <w:sz w:val="32"/>
          <w:szCs w:val="32"/>
        </w:rPr>
        <w:t>万元，较2019年预算</w:t>
      </w:r>
      <w:r>
        <w:rPr>
          <w:rFonts w:hint="eastAsia" w:ascii="Times New Roman" w:hAnsi="Times New Roman" w:eastAsia="仿宋_GB2312" w:cs="Times New Roman"/>
          <w:sz w:val="32"/>
          <w:szCs w:val="32"/>
          <w:lang w:eastAsia="zh-CN"/>
        </w:rPr>
        <w:t>减少</w:t>
      </w:r>
      <w:r>
        <w:rPr>
          <w:rFonts w:hint="eastAsia" w:ascii="仿宋" w:hAnsi="仿宋" w:eastAsia="仿宋" w:cs="仿宋"/>
          <w:color w:val="000000" w:themeColor="text1"/>
          <w:sz w:val="32"/>
          <w:szCs w:val="32"/>
          <w:highlight w:val="none"/>
          <w:lang w:val="en-US" w:eastAsia="zh-CN"/>
        </w:rPr>
        <w:t>98.26</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eastAsia="zh-CN"/>
        </w:rPr>
        <w:t>减少</w:t>
      </w:r>
      <w:r>
        <w:rPr>
          <w:rFonts w:hint="eastAsia" w:ascii="Times New Roman" w:hAnsi="Times New Roman" w:eastAsia="仿宋_GB2312" w:cs="Times New Roman"/>
          <w:sz w:val="32"/>
          <w:szCs w:val="32"/>
          <w:lang w:val="en-US" w:eastAsia="zh-CN"/>
        </w:rPr>
        <w:t>88.89</w:t>
      </w:r>
      <w:r>
        <w:rPr>
          <w:rFonts w:ascii="Times New Roman" w:hAnsi="Times New Roman" w:eastAsia="仿宋_GB2312" w:cs="Times New Roman"/>
          <w:sz w:val="32"/>
          <w:szCs w:val="32"/>
        </w:rPr>
        <w:t>万元，主要为</w:t>
      </w:r>
      <w:r>
        <w:rPr>
          <w:rFonts w:hint="eastAsia" w:ascii="仿宋_GB2312" w:hAnsi="仿宋" w:eastAsia="仿宋_GB2312"/>
          <w:sz w:val="32"/>
          <w:szCs w:val="32"/>
          <w:lang w:eastAsia="zh-CN"/>
        </w:rPr>
        <w:t>贯彻执行厉行节约精神，减少经费支出</w:t>
      </w:r>
      <w:r>
        <w:rPr>
          <w:rFonts w:ascii="Times New Roman" w:hAnsi="Times New Roman" w:eastAsia="仿宋_GB2312" w:cs="Times New Roman"/>
          <w:sz w:val="32"/>
          <w:szCs w:val="32"/>
        </w:rPr>
        <w:t>；项目支出</w:t>
      </w:r>
      <w:r>
        <w:rPr>
          <w:rFonts w:hint="eastAsia" w:ascii="Times New Roman" w:hAnsi="Times New Roman" w:eastAsia="仿宋_GB2312" w:cs="Times New Roman"/>
          <w:sz w:val="32"/>
          <w:szCs w:val="32"/>
          <w:lang w:eastAsia="zh-CN"/>
        </w:rPr>
        <w:t>减少</w:t>
      </w:r>
      <w:r>
        <w:rPr>
          <w:rFonts w:hint="eastAsia" w:ascii="Times New Roman" w:hAnsi="Times New Roman" w:eastAsia="仿宋_GB2312" w:cs="Times New Roman"/>
          <w:sz w:val="32"/>
          <w:szCs w:val="32"/>
          <w:lang w:val="en-US" w:eastAsia="zh-CN"/>
        </w:rPr>
        <w:t>9.37</w:t>
      </w:r>
      <w:r>
        <w:rPr>
          <w:rFonts w:ascii="Times New Roman" w:hAnsi="Times New Roman" w:eastAsia="仿宋_GB2312" w:cs="Times New Roman"/>
          <w:sz w:val="32"/>
          <w:szCs w:val="32"/>
        </w:rPr>
        <w:t>万元，主要为</w:t>
      </w:r>
      <w:r>
        <w:rPr>
          <w:rFonts w:hint="eastAsia" w:ascii="仿宋_GB2312" w:hAnsi="仿宋" w:eastAsia="仿宋_GB2312"/>
          <w:sz w:val="32"/>
          <w:szCs w:val="32"/>
          <w:lang w:eastAsia="zh-CN"/>
        </w:rPr>
        <w:t>贯彻执行厉行节约精神，减少</w:t>
      </w:r>
      <w:r>
        <w:rPr>
          <w:rFonts w:hint="eastAsia" w:ascii="Times New Roman" w:hAnsi="Times New Roman" w:eastAsia="仿宋_GB2312" w:cs="Times New Roman"/>
          <w:sz w:val="32"/>
          <w:szCs w:val="32"/>
          <w:lang w:eastAsia="zh-CN"/>
        </w:rPr>
        <w:t>六个专委会</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代表工作</w:t>
      </w:r>
      <w:r>
        <w:rPr>
          <w:rFonts w:ascii="Times New Roman" w:hAnsi="Times New Roman" w:eastAsia="仿宋_GB2312" w:cs="Times New Roman"/>
          <w:sz w:val="32"/>
          <w:szCs w:val="32"/>
        </w:rPr>
        <w:t>项目支出。</w:t>
      </w:r>
    </w:p>
    <w:p>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三、机关运行经费安排情况</w:t>
      </w:r>
    </w:p>
    <w:p>
      <w:pPr>
        <w:autoSpaceDE w:val="0"/>
        <w:autoSpaceDN w:val="0"/>
        <w:adjustRightInd w:val="0"/>
        <w:ind w:left="198" w:firstLine="640" w:firstLineChars="200"/>
        <w:jc w:val="left"/>
        <w:rPr>
          <w:rFonts w:hint="eastAsia" w:ascii="仿宋_GB2312" w:hAnsi="Times New Roman" w:eastAsia="仿宋_GB2312" w:cs="Times New Roman"/>
          <w:sz w:val="32"/>
          <w:szCs w:val="32"/>
        </w:rPr>
      </w:pPr>
      <w:r>
        <w:rPr>
          <w:rFonts w:ascii="Times New Roman" w:hAnsi="Times New Roman" w:eastAsia="仿宋_GB2312" w:cs="Times New Roman"/>
          <w:sz w:val="32"/>
          <w:szCs w:val="32"/>
        </w:rPr>
        <w:t>2020年，我</w:t>
      </w: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机关运行经费共计安排</w:t>
      </w:r>
      <w:r>
        <w:rPr>
          <w:rFonts w:hint="eastAsia" w:ascii="Times New Roman" w:hAnsi="Times New Roman" w:eastAsia="仿宋_GB2312" w:cs="Times New Roman"/>
          <w:sz w:val="32"/>
          <w:szCs w:val="32"/>
          <w:lang w:val="en-US" w:eastAsia="zh-CN"/>
        </w:rPr>
        <w:t>92.15</w:t>
      </w:r>
      <w:r>
        <w:rPr>
          <w:rFonts w:ascii="Times New Roman" w:hAnsi="Times New Roman" w:eastAsia="仿宋_GB2312" w:cs="Times New Roman"/>
          <w:sz w:val="32"/>
          <w:szCs w:val="32"/>
        </w:rPr>
        <w:t>万元，主要用于</w:t>
      </w:r>
      <w:r>
        <w:rPr>
          <w:rFonts w:hint="eastAsia" w:ascii="Times New Roman" w:hAnsi="Times New Roman" w:eastAsia="仿宋_GB2312" w:cs="Times New Roman"/>
          <w:sz w:val="32"/>
          <w:szCs w:val="32"/>
        </w:rPr>
        <w:t>我部门</w:t>
      </w:r>
      <w:r>
        <w:rPr>
          <w:rFonts w:ascii="Times New Roman" w:hAnsi="Times New Roman" w:eastAsia="仿宋_GB2312" w:cs="Times New Roman"/>
          <w:sz w:val="32"/>
          <w:szCs w:val="32"/>
        </w:rPr>
        <w:t>的</w:t>
      </w:r>
      <w:r>
        <w:rPr>
          <w:rFonts w:hint="eastAsia" w:ascii="仿宋_GB2312" w:hAnsi="Times New Roman" w:eastAsia="仿宋_GB2312" w:cs="Times New Roman"/>
          <w:sz w:val="32"/>
          <w:szCs w:val="32"/>
          <w:lang w:eastAsia="zh-CN"/>
        </w:rPr>
        <w:t>单位</w:t>
      </w:r>
      <w:r>
        <w:rPr>
          <w:rFonts w:hint="eastAsia" w:ascii="仿宋_GB2312" w:hAnsi="Times New Roman" w:eastAsia="仿宋_GB2312" w:cs="Times New Roman"/>
          <w:sz w:val="32"/>
          <w:szCs w:val="32"/>
        </w:rPr>
        <w:t>办公区的日常维修、办公用房水电费、办公用房取暖费、办公用房物业管理费等日常运行支出。</w:t>
      </w:r>
    </w:p>
    <w:p>
      <w:pPr>
        <w:autoSpaceDE w:val="0"/>
        <w:autoSpaceDN w:val="0"/>
        <w:adjustRightInd w:val="0"/>
        <w:spacing w:line="584" w:lineRule="exact"/>
        <w:ind w:firstLine="627" w:firstLineChars="196"/>
        <w:jc w:val="left"/>
        <w:rPr>
          <w:rFonts w:ascii="Times New Roman" w:hAnsi="黑体" w:eastAsia="黑体" w:cs="Times New Roman"/>
          <w:sz w:val="32"/>
          <w:szCs w:val="32"/>
        </w:rPr>
      </w:pPr>
      <w:r>
        <w:rPr>
          <w:rFonts w:ascii="Times New Roman" w:hAnsi="黑体" w:eastAsia="黑体" w:cs="Times New Roman"/>
          <w:sz w:val="32"/>
          <w:szCs w:val="32"/>
        </w:rPr>
        <w:t>四、财政拨款“三公”经费预算情况及增减变化原因</w:t>
      </w:r>
    </w:p>
    <w:p>
      <w:pPr>
        <w:spacing w:line="584" w:lineRule="exact"/>
        <w:ind w:firstLine="640" w:firstLineChars="200"/>
        <w:rPr>
          <w:rFonts w:ascii="Times New Roman" w:hAnsi="Times New Roman" w:eastAsia="仿宋_GB2312" w:cs="Times New Roman"/>
          <w:color w:val="FF0000"/>
          <w:sz w:val="32"/>
          <w:szCs w:val="32"/>
        </w:rPr>
      </w:pPr>
      <w:r>
        <w:rPr>
          <w:rFonts w:ascii="Times New Roman" w:hAnsi="Times New Roman" w:eastAsia="仿宋_GB2312" w:cs="Times New Roman"/>
          <w:sz w:val="32"/>
          <w:szCs w:val="32"/>
        </w:rPr>
        <w:t>2020年，我</w:t>
      </w: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财政拨款“三公”经费预算安排</w:t>
      </w:r>
      <w:r>
        <w:rPr>
          <w:rFonts w:hint="eastAsia" w:ascii="Times New Roman" w:hAnsi="Times New Roman" w:eastAsia="仿宋_GB2312" w:cs="Times New Roman"/>
          <w:sz w:val="32"/>
          <w:szCs w:val="32"/>
          <w:lang w:val="en-US" w:eastAsia="zh-CN"/>
        </w:rPr>
        <w:t>11.26</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其中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因公出国（境）费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万元；公务用车购置及运维费</w:t>
      </w:r>
      <w:r>
        <w:rPr>
          <w:rFonts w:hint="eastAsia" w:ascii="Times New Roman" w:hAnsi="Times New Roman" w:eastAsia="仿宋_GB2312" w:cs="Times New Roman"/>
          <w:sz w:val="32"/>
          <w:szCs w:val="32"/>
          <w:lang w:val="en-US" w:eastAsia="zh-CN"/>
        </w:rPr>
        <w:t>10.84</w:t>
      </w:r>
      <w:r>
        <w:rPr>
          <w:rFonts w:ascii="Times New Roman" w:hAnsi="Times New Roman" w:eastAsia="仿宋_GB2312" w:cs="Times New Roman"/>
          <w:sz w:val="32"/>
          <w:szCs w:val="32"/>
        </w:rPr>
        <w:t>万元（其中：公务用车购置费为</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万元，公务用车运维费</w:t>
      </w:r>
      <w:r>
        <w:rPr>
          <w:rFonts w:hint="eastAsia" w:ascii="Times New Roman" w:hAnsi="Times New Roman" w:eastAsia="仿宋_GB2312" w:cs="Times New Roman"/>
          <w:sz w:val="32"/>
          <w:szCs w:val="32"/>
          <w:lang w:val="en-US" w:eastAsia="zh-CN"/>
        </w:rPr>
        <w:t>10.84</w:t>
      </w:r>
      <w:r>
        <w:rPr>
          <w:rFonts w:ascii="Times New Roman" w:hAnsi="Times New Roman" w:eastAsia="仿宋_GB2312" w:cs="Times New Roman"/>
          <w:sz w:val="32"/>
          <w:szCs w:val="32"/>
        </w:rPr>
        <w:t>万元)；公务接待费</w:t>
      </w:r>
      <w:r>
        <w:rPr>
          <w:rFonts w:hint="eastAsia" w:ascii="Times New Roman" w:hAnsi="Times New Roman" w:eastAsia="仿宋_GB2312" w:cs="Times New Roman"/>
          <w:sz w:val="32"/>
          <w:szCs w:val="32"/>
          <w:lang w:val="en-US" w:eastAsia="zh-CN"/>
        </w:rPr>
        <w:t>0.42</w:t>
      </w:r>
      <w:r>
        <w:rPr>
          <w:rFonts w:ascii="Times New Roman" w:hAnsi="Times New Roman" w:eastAsia="仿宋_GB2312" w:cs="Times New Roman"/>
          <w:sz w:val="32"/>
          <w:szCs w:val="32"/>
        </w:rPr>
        <w:t>万元。与2019年</w:t>
      </w:r>
      <w:r>
        <w:rPr>
          <w:rFonts w:hint="eastAsia" w:ascii="Times New Roman" w:hAnsi="Times New Roman" w:eastAsia="仿宋_GB2312" w:cs="Times New Roman"/>
          <w:sz w:val="32"/>
          <w:szCs w:val="32"/>
        </w:rPr>
        <w:t>相比</w:t>
      </w:r>
      <w:r>
        <w:rPr>
          <w:rFonts w:hint="eastAsia" w:ascii="Times New Roman" w:hAnsi="Times New Roman" w:eastAsia="仿宋_GB2312" w:cs="Times New Roman"/>
          <w:sz w:val="32"/>
          <w:szCs w:val="32"/>
          <w:highlight w:val="none"/>
          <w:lang w:eastAsia="zh-CN"/>
        </w:rPr>
        <w:t>减少</w:t>
      </w:r>
      <w:r>
        <w:rPr>
          <w:rFonts w:hint="eastAsia" w:ascii="Times New Roman" w:hAnsi="Times New Roman" w:eastAsia="仿宋_GB2312" w:cs="Times New Roman"/>
          <w:sz w:val="32"/>
          <w:szCs w:val="32"/>
          <w:highlight w:val="none"/>
          <w:lang w:val="en-US" w:eastAsia="zh-CN"/>
        </w:rPr>
        <w:t>1.2</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其中：</w:t>
      </w:r>
      <w:r>
        <w:rPr>
          <w:rFonts w:ascii="Times New Roman" w:hAnsi="Times New Roman" w:eastAsia="仿宋_GB2312" w:cs="Times New Roman"/>
          <w:sz w:val="32"/>
          <w:szCs w:val="32"/>
        </w:rPr>
        <w:t>公务用车购置及运维费</w:t>
      </w:r>
      <w:r>
        <w:rPr>
          <w:rFonts w:hint="eastAsia" w:ascii="Times New Roman" w:hAnsi="Times New Roman" w:eastAsia="仿宋_GB2312" w:cs="Times New Roman"/>
          <w:sz w:val="32"/>
          <w:szCs w:val="32"/>
        </w:rPr>
        <w:t>减少</w:t>
      </w:r>
      <w:r>
        <w:rPr>
          <w:rFonts w:hint="eastAsia" w:ascii="Times New Roman" w:hAnsi="Times New Roman" w:eastAsia="仿宋_GB2312" w:cs="Times New Roman"/>
          <w:sz w:val="32"/>
          <w:szCs w:val="32"/>
          <w:lang w:val="en-US" w:eastAsia="zh-CN"/>
        </w:rPr>
        <w:t>1.16</w:t>
      </w:r>
      <w:r>
        <w:rPr>
          <w:rFonts w:ascii="Times New Roman" w:hAnsi="Times New Roman" w:eastAsia="仿宋_GB2312" w:cs="Times New Roman"/>
          <w:sz w:val="32"/>
          <w:szCs w:val="32"/>
        </w:rPr>
        <w:t>万元（其中：公务用车购置费</w:t>
      </w:r>
      <w:r>
        <w:rPr>
          <w:rFonts w:hint="eastAsia" w:ascii="Times New Roman" w:hAnsi="Times New Roman" w:eastAsia="仿宋_GB2312" w:cs="Times New Roman"/>
          <w:sz w:val="32"/>
          <w:szCs w:val="32"/>
          <w:lang w:eastAsia="zh-CN"/>
        </w:rPr>
        <w:t>持平</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万元，公务用车运维费</w:t>
      </w:r>
      <w:r>
        <w:rPr>
          <w:rFonts w:hint="eastAsia" w:ascii="Times New Roman" w:hAnsi="Times New Roman" w:eastAsia="仿宋_GB2312" w:cs="Times New Roman"/>
          <w:sz w:val="32"/>
          <w:szCs w:val="32"/>
        </w:rPr>
        <w:t>减少</w:t>
      </w:r>
      <w:r>
        <w:rPr>
          <w:rFonts w:hint="eastAsia" w:ascii="Times New Roman" w:hAnsi="Times New Roman" w:eastAsia="仿宋_GB2312" w:cs="Times New Roman"/>
          <w:sz w:val="32"/>
          <w:szCs w:val="32"/>
          <w:highlight w:val="none"/>
          <w:lang w:val="en-US" w:eastAsia="zh-CN"/>
        </w:rPr>
        <w:t>1.16</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主要原因是</w:t>
      </w:r>
      <w:r>
        <w:rPr>
          <w:rFonts w:hint="eastAsia" w:ascii="Times New Roman" w:hAnsi="Times New Roman" w:eastAsia="仿宋_GB2312" w:cs="Times New Roman"/>
          <w:sz w:val="32"/>
          <w:szCs w:val="32"/>
        </w:rPr>
        <w:t>我部门切实落实勤俭节约各项规定，压减公车运行经费支出</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公务接待费</w:t>
      </w:r>
      <w:r>
        <w:rPr>
          <w:rFonts w:hint="eastAsia" w:ascii="Times New Roman" w:hAnsi="Times New Roman" w:eastAsia="仿宋_GB2312" w:cs="Times New Roman"/>
          <w:sz w:val="32"/>
          <w:szCs w:val="32"/>
        </w:rPr>
        <w:t>减少</w:t>
      </w:r>
      <w:r>
        <w:rPr>
          <w:rFonts w:hint="eastAsia" w:ascii="Times New Roman" w:hAnsi="Times New Roman" w:eastAsia="仿宋_GB2312" w:cs="Times New Roman"/>
          <w:sz w:val="32"/>
          <w:szCs w:val="32"/>
          <w:lang w:val="en-US" w:eastAsia="zh-CN"/>
        </w:rPr>
        <w:t>0.04</w:t>
      </w:r>
      <w:r>
        <w:rPr>
          <w:rFonts w:hint="eastAsia" w:ascii="Times New Roman" w:hAnsi="Times New Roman" w:eastAsia="仿宋_GB2312" w:cs="Times New Roman"/>
          <w:sz w:val="32"/>
          <w:szCs w:val="32"/>
        </w:rPr>
        <w:t>万元，</w:t>
      </w:r>
      <w:r>
        <w:rPr>
          <w:rFonts w:ascii="Times New Roman" w:hAnsi="Times New Roman" w:eastAsia="仿宋_GB2312" w:cs="Times New Roman"/>
          <w:sz w:val="32"/>
          <w:szCs w:val="32"/>
        </w:rPr>
        <w:t>主要原因是</w:t>
      </w:r>
      <w:r>
        <w:rPr>
          <w:rFonts w:hint="eastAsia" w:ascii="Times New Roman" w:hAnsi="Times New Roman" w:eastAsia="仿宋_GB2312" w:cs="Times New Roman"/>
          <w:sz w:val="32"/>
          <w:szCs w:val="32"/>
        </w:rPr>
        <w:t>我部门切实落实勤俭节约各项规定，严格控制公务接待费支出。</w:t>
      </w:r>
    </w:p>
    <w:p>
      <w:pPr>
        <w:numPr>
          <w:ilvl w:val="0"/>
          <w:numId w:val="1"/>
        </w:numPr>
        <w:spacing w:line="584" w:lineRule="exact"/>
        <w:ind w:firstLine="640" w:firstLineChars="200"/>
        <w:rPr>
          <w:rFonts w:ascii="Times New Roman" w:hAnsi="黑体" w:eastAsia="黑体" w:cs="Times New Roman"/>
          <w:sz w:val="32"/>
          <w:szCs w:val="32"/>
        </w:rPr>
      </w:pPr>
      <w:bookmarkStart w:id="0" w:name="_Toc471398463"/>
      <w:r>
        <w:rPr>
          <w:rFonts w:ascii="Times New Roman" w:hAnsi="黑体" w:eastAsia="黑体" w:cs="Times New Roman"/>
          <w:sz w:val="32"/>
          <w:szCs w:val="32"/>
        </w:rPr>
        <w:t>绩效预算信息</w:t>
      </w:r>
    </w:p>
    <w:p>
      <w:pPr>
        <w:numPr>
          <w:ilvl w:val="0"/>
          <w:numId w:val="0"/>
        </w:numPr>
        <w:spacing w:line="584" w:lineRule="exact"/>
        <w:rPr>
          <w:rFonts w:ascii="Times New Roman" w:hAnsi="黑体" w:eastAsia="黑体" w:cs="Times New Roman"/>
          <w:sz w:val="32"/>
          <w:szCs w:val="32"/>
        </w:rPr>
      </w:pPr>
      <w:r>
        <w:rPr>
          <w:rFonts w:hint="eastAsia" w:ascii="Times New Roman" w:hAnsi="黑体" w:eastAsia="黑体" w:cs="Times New Roman"/>
          <w:sz w:val="32"/>
          <w:szCs w:val="32"/>
          <w:lang w:eastAsia="zh-CN"/>
        </w:rPr>
        <w:t>　　</w:t>
      </w:r>
      <w:r>
        <w:rPr>
          <w:rFonts w:hint="eastAsia" w:ascii="Times New Roman" w:hAnsi="黑体" w:eastAsia="黑体" w:cs="Times New Roman"/>
          <w:sz w:val="32"/>
          <w:szCs w:val="32"/>
        </w:rPr>
        <w:t>第一部分 部门整体绩效目标</w:t>
      </w:r>
    </w:p>
    <w:p>
      <w:pPr>
        <w:spacing w:line="584" w:lineRule="exact"/>
        <w:ind w:firstLine="643"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（一）总体绩效目标</w:t>
      </w:r>
    </w:p>
    <w:p>
      <w:pPr>
        <w:ind w:firstLine="640" w:firstLineChars="200"/>
        <w:rPr>
          <w:rFonts w:ascii="仿宋" w:hAnsi="仿宋" w:eastAsia="仿宋"/>
          <w:sz w:val="32"/>
          <w:szCs w:val="32"/>
        </w:rPr>
      </w:pPr>
      <w:r>
        <w:rPr>
          <w:rFonts w:hint="eastAsia" w:ascii="仿宋" w:hAnsi="仿宋" w:eastAsia="仿宋" w:cs="宋体"/>
          <w:sz w:val="32"/>
          <w:szCs w:val="32"/>
        </w:rPr>
        <w:t>本行政区域内宪法、法律、行政法规和上级人民代表大会及其常委会决议的遵守和执行；领导和主持县人民代表大会的选举；召集县人民代表大会会议；讨论、决定本县内的政治、经济、教育、科学、文化、卫生、环境的资源保护、民政、民族等工作的重大事项；根据县人民政府的建议，决定对本县内的国民经济发展计划、预算的部分变更；监督县人民政府、人民法院和人民检察院的工作；联系人民代表大会代表，受理人民群众对上述机关和国家工作人员的申诉和意见；撤销乡镇人民代表大会及人大主席团的不适当的决议；撤销县人民政府不适当的决议和命令；在县人民代表大会闭会期间，决定副县长的个别任免；在县长和法院院长、检察长因故不能履行职务时，从县人民政府、人民法院、人民检察院副职领导人员中决定代理的人选；任免县政府、县法院、县检察院组成人员；在县人民代表大会闭会期间，补选或罢免市人大代表；决定授予地方的荣誉称号等。</w:t>
      </w:r>
    </w:p>
    <w:p>
      <w:pPr>
        <w:spacing w:line="584" w:lineRule="exact"/>
        <w:ind w:firstLine="643"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（二）分项绩效目标</w:t>
      </w:r>
    </w:p>
    <w:p>
      <w:pPr>
        <w:spacing w:line="560" w:lineRule="exact"/>
        <w:ind w:firstLine="643" w:firstLineChars="200"/>
        <w:rPr>
          <w:rFonts w:hint="eastAsia" w:ascii="仿宋" w:hAnsi="仿宋" w:eastAsia="仿宋"/>
          <w:b/>
          <w:bCs/>
          <w:sz w:val="32"/>
          <w:szCs w:val="32"/>
          <w:lang w:val="en-US" w:eastAsia="zh-CN"/>
        </w:rPr>
      </w:pPr>
      <w:r>
        <w:rPr>
          <w:rFonts w:hint="eastAsia" w:ascii="仿宋_GB2312" w:hAnsi="仿宋_GB2312" w:eastAsia="仿宋_GB2312" w:cs="仿宋_GB2312"/>
          <w:b/>
          <w:bCs/>
          <w:sz w:val="32"/>
          <w:szCs w:val="32"/>
        </w:rPr>
        <w:t>(一)</w:t>
      </w:r>
      <w:r>
        <w:rPr>
          <w:rFonts w:hint="eastAsia" w:ascii="仿宋_GB2312" w:hAnsi="仿宋_GB2312" w:eastAsia="仿宋_GB2312" w:cs="仿宋_GB2312"/>
          <w:b/>
          <w:bCs/>
          <w:sz w:val="32"/>
        </w:rPr>
        <w:t>精心筹备</w:t>
      </w:r>
      <w:r>
        <w:rPr>
          <w:rFonts w:hint="eastAsia" w:ascii="仿宋_GB2312" w:hAnsi="仿宋_GB2312" w:eastAsia="仿宋_GB2312" w:cs="仿宋_GB2312"/>
          <w:b/>
          <w:bCs/>
          <w:sz w:val="32"/>
          <w:lang w:eastAsia="zh-CN"/>
        </w:rPr>
        <w:t>人大会议，</w:t>
      </w:r>
      <w:r>
        <w:rPr>
          <w:rFonts w:hint="eastAsia" w:ascii="仿宋_GB2312" w:hAnsi="仿宋_GB2312" w:eastAsia="仿宋_GB2312" w:cs="仿宋_GB2312"/>
          <w:b/>
          <w:bCs/>
          <w:sz w:val="32"/>
        </w:rPr>
        <w:t>圆满完成各项会议议程。</w:t>
      </w:r>
    </w:p>
    <w:p>
      <w:pPr>
        <w:spacing w:line="560" w:lineRule="exact"/>
        <w:ind w:firstLine="643" w:firstLineChars="200"/>
        <w:rPr>
          <w:rFonts w:ascii="仿宋" w:hAnsi="仿宋" w:eastAsia="仿宋"/>
          <w:b/>
          <w:bCs/>
          <w:sz w:val="32"/>
          <w:szCs w:val="32"/>
        </w:rPr>
      </w:pPr>
      <w:r>
        <w:rPr>
          <w:rFonts w:hint="eastAsia" w:ascii="仿宋" w:hAnsi="仿宋" w:eastAsia="仿宋"/>
          <w:b/>
          <w:bCs/>
          <w:sz w:val="32"/>
          <w:szCs w:val="32"/>
        </w:rPr>
        <w:t>绩效目标：</w:t>
      </w:r>
      <w:r>
        <w:rPr>
          <w:rFonts w:ascii="仿宋" w:hAnsi="仿宋" w:eastAsia="仿宋"/>
          <w:sz w:val="32"/>
        </w:rPr>
        <w:t>精心筹备召开</w:t>
      </w:r>
      <w:r>
        <w:rPr>
          <w:rFonts w:hint="eastAsia" w:ascii="仿宋" w:hAnsi="仿宋" w:eastAsia="仿宋"/>
          <w:sz w:val="32"/>
          <w:lang w:eastAsia="zh-CN"/>
        </w:rPr>
        <w:t>县十六</w:t>
      </w:r>
      <w:r>
        <w:rPr>
          <w:rFonts w:ascii="仿宋" w:hAnsi="仿宋" w:eastAsia="仿宋"/>
          <w:sz w:val="32"/>
        </w:rPr>
        <w:t>届人大</w:t>
      </w:r>
      <w:r>
        <w:rPr>
          <w:rFonts w:hint="eastAsia" w:ascii="仿宋" w:hAnsi="仿宋" w:eastAsia="仿宋"/>
          <w:sz w:val="32"/>
          <w:lang w:eastAsia="zh-CN"/>
        </w:rPr>
        <w:t>四</w:t>
      </w:r>
      <w:r>
        <w:rPr>
          <w:rFonts w:ascii="仿宋" w:hAnsi="仿宋" w:eastAsia="仿宋"/>
          <w:sz w:val="32"/>
        </w:rPr>
        <w:t>次会议。组织代表审议各项工作报告，圆满完成各项会议议程。</w:t>
      </w:r>
      <w:r>
        <w:rPr>
          <w:rFonts w:ascii="仿宋_GB2312" w:hAnsi="仿宋_GB2312" w:eastAsia="仿宋_GB2312"/>
          <w:sz w:val="32"/>
        </w:rPr>
        <w:t>召开</w:t>
      </w:r>
      <w:r>
        <w:rPr>
          <w:rFonts w:hint="eastAsia" w:ascii="仿宋_GB2312" w:hAnsi="仿宋_GB2312" w:eastAsia="仿宋_GB2312"/>
          <w:sz w:val="32"/>
        </w:rPr>
        <w:t>人大</w:t>
      </w:r>
      <w:r>
        <w:rPr>
          <w:rFonts w:ascii="仿宋_GB2312" w:hAnsi="仿宋_GB2312" w:eastAsia="仿宋_GB2312"/>
          <w:sz w:val="32"/>
        </w:rPr>
        <w:t>会议，提高</w:t>
      </w:r>
      <w:r>
        <w:rPr>
          <w:rFonts w:hint="eastAsia" w:ascii="仿宋_GB2312" w:hAnsi="仿宋_GB2312" w:eastAsia="仿宋_GB2312"/>
          <w:sz w:val="32"/>
        </w:rPr>
        <w:t>人大代表职能审议</w:t>
      </w:r>
      <w:r>
        <w:rPr>
          <w:rFonts w:ascii="仿宋_GB2312" w:hAnsi="仿宋_GB2312" w:eastAsia="仿宋_GB2312"/>
          <w:sz w:val="32"/>
        </w:rPr>
        <w:t>水平。</w:t>
      </w:r>
    </w:p>
    <w:p>
      <w:pPr>
        <w:spacing w:line="560" w:lineRule="exact"/>
        <w:ind w:firstLine="643" w:firstLineChars="200"/>
        <w:rPr>
          <w:rFonts w:ascii="仿宋" w:hAnsi="仿宋" w:eastAsia="仿宋_GB2312"/>
          <w:b/>
          <w:bCs/>
          <w:sz w:val="32"/>
          <w:szCs w:val="32"/>
        </w:rPr>
      </w:pPr>
      <w:r>
        <w:rPr>
          <w:rFonts w:hint="eastAsia" w:ascii="仿宋" w:hAnsi="仿宋" w:eastAsia="仿宋"/>
          <w:b/>
          <w:bCs/>
          <w:sz w:val="32"/>
          <w:szCs w:val="32"/>
        </w:rPr>
        <w:t>绩效指标</w:t>
      </w:r>
      <w:r>
        <w:rPr>
          <w:rFonts w:ascii="仿宋" w:hAnsi="仿宋" w:eastAsia="仿宋"/>
          <w:b/>
          <w:bCs/>
          <w:sz w:val="32"/>
          <w:szCs w:val="32"/>
        </w:rPr>
        <w:t>:</w:t>
      </w:r>
      <w:r>
        <w:rPr>
          <w:rFonts w:hint="eastAsia" w:ascii="仿宋_GB2312" w:hAnsi="仿宋_GB2312" w:eastAsia="仿宋_GB2312"/>
          <w:sz w:val="32"/>
        </w:rPr>
        <w:t>人大</w:t>
      </w:r>
      <w:r>
        <w:rPr>
          <w:rFonts w:ascii="仿宋_GB2312" w:hAnsi="仿宋_GB2312" w:eastAsia="仿宋_GB2312"/>
          <w:sz w:val="32"/>
        </w:rPr>
        <w:t>会</w:t>
      </w:r>
      <w:r>
        <w:rPr>
          <w:rFonts w:hint="eastAsia" w:ascii="仿宋_GB2312" w:hAnsi="仿宋_GB2312" w:eastAsia="仿宋_GB2312"/>
          <w:sz w:val="32"/>
          <w:lang w:eastAsia="zh-CN"/>
        </w:rPr>
        <w:t>会</w:t>
      </w:r>
      <w:r>
        <w:rPr>
          <w:rFonts w:hint="eastAsia" w:ascii="仿宋_GB2312" w:hAnsi="仿宋_GB2312" w:eastAsia="仿宋_GB2312"/>
          <w:sz w:val="32"/>
        </w:rPr>
        <w:t>议及人大</w:t>
      </w:r>
      <w:r>
        <w:rPr>
          <w:rFonts w:ascii="仿宋_GB2312" w:hAnsi="仿宋_GB2312" w:eastAsia="仿宋_GB2312"/>
          <w:sz w:val="32"/>
        </w:rPr>
        <w:t>常委会会务工作完成率</w:t>
      </w:r>
      <w:r>
        <w:rPr>
          <w:rFonts w:hint="eastAsia" w:ascii="仿宋_GB2312" w:hAnsi="仿宋_GB2312" w:eastAsia="仿宋_GB2312"/>
          <w:sz w:val="32"/>
        </w:rPr>
        <w:t>95</w:t>
      </w:r>
      <w:r>
        <w:rPr>
          <w:rFonts w:ascii="仿宋_GB2312" w:hAnsi="仿宋_GB2312" w:eastAsia="仿宋_GB2312"/>
          <w:sz w:val="32"/>
        </w:rPr>
        <w:t>%</w:t>
      </w:r>
      <w:r>
        <w:rPr>
          <w:rFonts w:hint="eastAsia" w:ascii="仿宋_GB2312" w:hAnsi="仿宋_GB2312" w:eastAsia="仿宋_GB2312"/>
          <w:sz w:val="32"/>
        </w:rPr>
        <w:t>以上。</w:t>
      </w:r>
    </w:p>
    <w:p>
      <w:pPr>
        <w:numPr>
          <w:ilvl w:val="0"/>
          <w:numId w:val="0"/>
        </w:numPr>
        <w:spacing w:line="560" w:lineRule="exact"/>
        <w:rPr>
          <w:rFonts w:hint="eastAsia" w:ascii="仿宋" w:hAnsi="仿宋" w:eastAsia="仿宋"/>
          <w:sz w:val="32"/>
          <w:lang w:eastAsia="zh-CN"/>
        </w:rPr>
      </w:pPr>
      <w:r>
        <w:rPr>
          <w:rFonts w:hint="eastAsia" w:ascii="仿宋" w:hAnsi="仿宋" w:eastAsia="仿宋"/>
          <w:sz w:val="32"/>
          <w:lang w:eastAsia="zh-CN"/>
        </w:rPr>
        <w:t>　　</w:t>
      </w:r>
      <w:r>
        <w:rPr>
          <w:rFonts w:hint="eastAsia" w:ascii="仿宋_GB2312" w:hAnsi="仿宋_GB2312" w:eastAsia="仿宋_GB2312" w:cs="仿宋_GB2312"/>
          <w:b/>
          <w:bCs/>
          <w:sz w:val="32"/>
          <w:lang w:eastAsia="zh-CN"/>
        </w:rPr>
        <w:t>（二）</w:t>
      </w:r>
      <w:r>
        <w:rPr>
          <w:rFonts w:hint="eastAsia" w:ascii="仿宋_GB2312" w:hAnsi="仿宋_GB2312" w:eastAsia="仿宋_GB2312" w:cs="仿宋_GB2312"/>
          <w:b/>
          <w:bCs/>
          <w:sz w:val="32"/>
        </w:rPr>
        <w:t>强化工作监督</w:t>
      </w:r>
      <w:r>
        <w:rPr>
          <w:rFonts w:hint="eastAsia" w:ascii="仿宋_GB2312" w:hAnsi="仿宋_GB2312" w:eastAsia="仿宋_GB2312" w:cs="仿宋_GB2312"/>
          <w:b/>
          <w:bCs/>
          <w:sz w:val="32"/>
          <w:lang w:eastAsia="zh-CN"/>
        </w:rPr>
        <w:t>。</w:t>
      </w:r>
    </w:p>
    <w:p>
      <w:pPr>
        <w:pStyle w:val="17"/>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40" w:lineRule="atLeast"/>
        <w:ind w:firstLine="640"/>
        <w:rPr>
          <w:rFonts w:ascii="仿宋" w:hAnsi="仿宋" w:eastAsia="仿宋"/>
          <w:sz w:val="32"/>
        </w:rPr>
      </w:pPr>
      <w:r>
        <w:rPr>
          <w:rFonts w:ascii="仿宋" w:hAnsi="仿宋" w:eastAsia="仿宋"/>
          <w:b/>
          <w:bCs/>
          <w:sz w:val="32"/>
          <w:szCs w:val="32"/>
        </w:rPr>
        <w:t>绩效目标</w:t>
      </w:r>
      <w:r>
        <w:rPr>
          <w:rFonts w:hint="eastAsia" w:ascii="仿宋" w:hAnsi="仿宋" w:eastAsia="仿宋"/>
          <w:b/>
          <w:bCs/>
          <w:sz w:val="32"/>
          <w:szCs w:val="32"/>
        </w:rPr>
        <w:t>：</w:t>
      </w:r>
      <w:r>
        <w:rPr>
          <w:rFonts w:ascii="仿宋" w:hAnsi="仿宋" w:eastAsia="仿宋"/>
          <w:sz w:val="32"/>
        </w:rPr>
        <w:t>做好财政预算执行情况监督及决算、预算调整审查监督工作，加强对由人大选举和人大常委会任命人员的监督，保证各项法律在我市有效贯彻实施，更好维护人民群众的合法权益。</w:t>
      </w:r>
    </w:p>
    <w:p>
      <w:pPr>
        <w:spacing w:line="560" w:lineRule="exact"/>
        <w:ind w:firstLine="643" w:firstLineChars="200"/>
        <w:rPr>
          <w:rFonts w:ascii="仿宋" w:hAnsi="仿宋" w:eastAsia="仿宋"/>
          <w:b/>
          <w:bCs/>
          <w:sz w:val="32"/>
          <w:szCs w:val="32"/>
        </w:rPr>
      </w:pPr>
      <w:r>
        <w:rPr>
          <w:rFonts w:hint="eastAsia" w:ascii="仿宋" w:hAnsi="仿宋" w:eastAsia="仿宋"/>
          <w:b/>
          <w:bCs/>
          <w:sz w:val="32"/>
          <w:szCs w:val="32"/>
        </w:rPr>
        <w:t>绩效指标：</w:t>
      </w:r>
      <w:r>
        <w:rPr>
          <w:rFonts w:hint="eastAsia" w:ascii="仿宋" w:hAnsi="仿宋" w:eastAsia="仿宋"/>
          <w:sz w:val="32"/>
          <w:szCs w:val="32"/>
        </w:rPr>
        <w:t>人大代表及委员调研</w:t>
      </w:r>
      <w:r>
        <w:rPr>
          <w:rFonts w:ascii="仿宋_GB2312" w:hAnsi="仿宋_GB2312" w:eastAsia="仿宋_GB2312"/>
          <w:sz w:val="32"/>
        </w:rPr>
        <w:t>监督工作任务完成率达到</w:t>
      </w:r>
      <w:r>
        <w:rPr>
          <w:rFonts w:hint="eastAsia" w:ascii="仿宋_GB2312" w:hAnsi="仿宋_GB2312" w:eastAsia="仿宋_GB2312"/>
          <w:sz w:val="32"/>
        </w:rPr>
        <w:t>95</w:t>
      </w:r>
      <w:r>
        <w:rPr>
          <w:rFonts w:ascii="仿宋_GB2312" w:hAnsi="仿宋_GB2312" w:eastAsia="仿宋_GB2312"/>
          <w:sz w:val="32"/>
        </w:rPr>
        <w:t>%</w:t>
      </w:r>
      <w:r>
        <w:rPr>
          <w:rFonts w:hint="eastAsia" w:ascii="仿宋_GB2312" w:hAnsi="仿宋_GB2312" w:eastAsia="仿宋_GB2312"/>
          <w:sz w:val="32"/>
        </w:rPr>
        <w:t>以上</w:t>
      </w:r>
      <w:r>
        <w:rPr>
          <w:rFonts w:ascii="仿宋_GB2312" w:hAnsi="仿宋_GB2312" w:eastAsia="仿宋_GB2312"/>
          <w:sz w:val="32"/>
        </w:rPr>
        <w:t>。</w:t>
      </w:r>
    </w:p>
    <w:p>
      <w:pPr>
        <w:spacing w:line="560" w:lineRule="exact"/>
        <w:ind w:firstLine="643" w:firstLineChars="200"/>
        <w:rPr>
          <w:rFonts w:hint="eastAsia" w:ascii="黑体" w:hAnsi="黑体" w:eastAsia="黑体" w:cs="黑体"/>
          <w:b w:val="0"/>
          <w:bCs w:val="0"/>
          <w:sz w:val="32"/>
          <w:szCs w:val="32"/>
        </w:rPr>
      </w:pPr>
      <w:r>
        <w:rPr>
          <w:rFonts w:hint="eastAsia" w:ascii="仿宋_GB2312" w:hAnsi="仿宋_GB2312" w:eastAsia="仿宋_GB2312" w:cs="仿宋_GB2312"/>
          <w:b/>
          <w:bCs/>
          <w:sz w:val="32"/>
          <w:szCs w:val="32"/>
        </w:rPr>
        <w:t>(三)</w:t>
      </w:r>
      <w:r>
        <w:rPr>
          <w:rFonts w:hint="eastAsia" w:ascii="仿宋_GB2312" w:hAnsi="仿宋_GB2312" w:eastAsia="仿宋_GB2312" w:cs="仿宋_GB2312"/>
          <w:b/>
          <w:bCs/>
          <w:sz w:val="32"/>
        </w:rPr>
        <w:t>发挥代表主体作用。</w:t>
      </w:r>
    </w:p>
    <w:p>
      <w:pPr>
        <w:spacing w:line="560" w:lineRule="exact"/>
        <w:ind w:firstLine="643" w:firstLineChars="200"/>
        <w:rPr>
          <w:rFonts w:ascii="仿宋" w:hAnsi="仿宋" w:eastAsia="仿宋"/>
          <w:sz w:val="32"/>
          <w:szCs w:val="32"/>
        </w:rPr>
      </w:pPr>
      <w:r>
        <w:rPr>
          <w:rFonts w:hint="eastAsia" w:ascii="仿宋" w:hAnsi="仿宋" w:eastAsia="仿宋"/>
          <w:b/>
          <w:bCs/>
          <w:sz w:val="32"/>
          <w:szCs w:val="32"/>
        </w:rPr>
        <w:t>绩效目标：</w:t>
      </w:r>
      <w:r>
        <w:rPr>
          <w:rFonts w:ascii="仿宋" w:hAnsi="仿宋" w:eastAsia="仿宋"/>
          <w:sz w:val="32"/>
        </w:rPr>
        <w:t>认真做好人大代表的培训工作，提高代表履职能力。</w:t>
      </w:r>
    </w:p>
    <w:p>
      <w:pPr>
        <w:spacing w:line="560" w:lineRule="exact"/>
        <w:ind w:firstLine="643" w:firstLineChars="200"/>
        <w:rPr>
          <w:rFonts w:ascii="仿宋" w:hAnsi="仿宋" w:eastAsia="仿宋"/>
          <w:b/>
          <w:bCs/>
          <w:sz w:val="32"/>
          <w:szCs w:val="32"/>
        </w:rPr>
      </w:pPr>
      <w:r>
        <w:rPr>
          <w:rFonts w:hint="eastAsia" w:ascii="仿宋" w:hAnsi="仿宋" w:eastAsia="仿宋"/>
          <w:b/>
          <w:bCs/>
          <w:sz w:val="32"/>
          <w:szCs w:val="32"/>
        </w:rPr>
        <w:t>绩效指标：</w:t>
      </w:r>
      <w:r>
        <w:rPr>
          <w:rFonts w:ascii="仿宋_GB2312" w:hAnsi="仿宋_GB2312" w:eastAsia="仿宋_GB2312"/>
          <w:sz w:val="32"/>
        </w:rPr>
        <w:t>委员</w:t>
      </w:r>
      <w:r>
        <w:rPr>
          <w:rFonts w:hint="eastAsia" w:ascii="仿宋_GB2312" w:hAnsi="仿宋_GB2312" w:eastAsia="仿宋_GB2312"/>
          <w:sz w:val="32"/>
        </w:rPr>
        <w:t>及代表</w:t>
      </w:r>
      <w:r>
        <w:rPr>
          <w:rFonts w:ascii="仿宋_GB2312" w:hAnsi="仿宋_GB2312" w:eastAsia="仿宋_GB2312"/>
          <w:sz w:val="32"/>
        </w:rPr>
        <w:t>培训活动完成率达到</w:t>
      </w:r>
      <w:r>
        <w:rPr>
          <w:rFonts w:hint="eastAsia" w:ascii="仿宋_GB2312" w:hAnsi="仿宋_GB2312" w:eastAsia="仿宋_GB2312"/>
          <w:sz w:val="32"/>
          <w:lang w:val="en-US" w:eastAsia="zh-CN"/>
        </w:rPr>
        <w:t>95</w:t>
      </w:r>
      <w:r>
        <w:rPr>
          <w:rFonts w:ascii="仿宋_GB2312" w:hAnsi="仿宋_GB2312" w:eastAsia="仿宋_GB2312"/>
          <w:sz w:val="32"/>
        </w:rPr>
        <w:t>%。</w:t>
      </w:r>
    </w:p>
    <w:p>
      <w:pPr>
        <w:spacing w:line="560" w:lineRule="exact"/>
        <w:ind w:firstLine="643" w:firstLineChars="200"/>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(四)</w:t>
      </w:r>
      <w:r>
        <w:rPr>
          <w:rFonts w:hint="eastAsia" w:ascii="仿宋_GB2312" w:hAnsi="仿宋_GB2312" w:eastAsia="仿宋_GB2312" w:cs="仿宋_GB2312"/>
          <w:b/>
          <w:bCs/>
          <w:sz w:val="32"/>
        </w:rPr>
        <w:t>积极推进地方立法</w:t>
      </w:r>
      <w:r>
        <w:rPr>
          <w:rFonts w:hint="eastAsia" w:ascii="仿宋_GB2312" w:hAnsi="仿宋_GB2312" w:eastAsia="仿宋_GB2312" w:cs="仿宋_GB2312"/>
          <w:b/>
          <w:bCs/>
          <w:sz w:val="32"/>
          <w:lang w:eastAsia="zh-CN"/>
        </w:rPr>
        <w:t>工作</w:t>
      </w:r>
    </w:p>
    <w:p>
      <w:pPr>
        <w:spacing w:line="560" w:lineRule="exact"/>
        <w:ind w:firstLine="643" w:firstLineChars="200"/>
        <w:rPr>
          <w:rFonts w:ascii="仿宋" w:hAnsi="仿宋" w:eastAsia="仿宋"/>
          <w:sz w:val="32"/>
        </w:rPr>
      </w:pPr>
      <w:r>
        <w:rPr>
          <w:rFonts w:ascii="仿宋" w:hAnsi="仿宋" w:eastAsia="仿宋"/>
          <w:b/>
          <w:bCs/>
          <w:sz w:val="32"/>
          <w:szCs w:val="32"/>
        </w:rPr>
        <w:t>绩效目标</w:t>
      </w:r>
      <w:r>
        <w:rPr>
          <w:rFonts w:hint="eastAsia" w:ascii="仿宋" w:hAnsi="仿宋" w:eastAsia="仿宋"/>
          <w:b/>
          <w:bCs/>
          <w:sz w:val="32"/>
          <w:szCs w:val="32"/>
        </w:rPr>
        <w:t>：</w:t>
      </w:r>
      <w:r>
        <w:rPr>
          <w:rFonts w:ascii="仿宋" w:hAnsi="仿宋" w:eastAsia="仿宋"/>
          <w:sz w:val="32"/>
        </w:rPr>
        <w:t>开展规范制定地方性法规活动，健全制定地方性法规制度，依法行使地方立法权，切实发挥人大立法主导作用。</w:t>
      </w:r>
    </w:p>
    <w:p>
      <w:pPr>
        <w:spacing w:line="560" w:lineRule="exact"/>
        <w:ind w:firstLine="643" w:firstLineChars="200"/>
        <w:rPr>
          <w:rFonts w:ascii="仿宋_GB2312" w:hAnsi="仿宋_GB2312" w:eastAsia="仿宋_GB2312"/>
          <w:sz w:val="32"/>
        </w:rPr>
      </w:pPr>
      <w:r>
        <w:rPr>
          <w:rFonts w:hint="eastAsia" w:ascii="仿宋" w:hAnsi="仿宋" w:eastAsia="仿宋"/>
          <w:b/>
          <w:bCs/>
          <w:sz w:val="32"/>
          <w:szCs w:val="32"/>
        </w:rPr>
        <w:t>绩效指标：</w:t>
      </w:r>
      <w:r>
        <w:rPr>
          <w:rFonts w:hint="eastAsia" w:ascii="仿宋" w:hAnsi="仿宋" w:eastAsia="仿宋"/>
          <w:sz w:val="32"/>
          <w:szCs w:val="32"/>
        </w:rPr>
        <w:t>执法检查和集中视察完成率95%以上。</w:t>
      </w:r>
    </w:p>
    <w:p>
      <w:pPr>
        <w:spacing w:line="560" w:lineRule="exact"/>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rPr>
        <w:t>（五）加强人大宣传工作</w:t>
      </w:r>
    </w:p>
    <w:p>
      <w:pPr>
        <w:spacing w:line="560" w:lineRule="exact"/>
        <w:ind w:firstLine="643" w:firstLineChars="200"/>
        <w:rPr>
          <w:rFonts w:ascii="仿宋" w:hAnsi="仿宋" w:eastAsia="仿宋"/>
          <w:b/>
          <w:bCs/>
          <w:sz w:val="32"/>
          <w:szCs w:val="32"/>
        </w:rPr>
      </w:pPr>
      <w:r>
        <w:rPr>
          <w:rFonts w:ascii="仿宋" w:hAnsi="仿宋" w:eastAsia="仿宋"/>
          <w:b/>
          <w:bCs/>
          <w:sz w:val="32"/>
          <w:szCs w:val="32"/>
        </w:rPr>
        <w:t>绩效目标</w:t>
      </w:r>
      <w:r>
        <w:rPr>
          <w:rFonts w:hint="eastAsia" w:ascii="仿宋" w:hAnsi="仿宋" w:eastAsia="仿宋"/>
          <w:b/>
          <w:bCs/>
          <w:sz w:val="32"/>
          <w:szCs w:val="32"/>
        </w:rPr>
        <w:t>：</w:t>
      </w:r>
      <w:r>
        <w:rPr>
          <w:rFonts w:hint="eastAsia" w:ascii="仿宋" w:hAnsi="仿宋" w:eastAsia="仿宋"/>
          <w:sz w:val="32"/>
          <w:szCs w:val="32"/>
        </w:rPr>
        <w:t>编印人大内刊及文史资料，</w:t>
      </w:r>
      <w:r>
        <w:rPr>
          <w:rFonts w:ascii="仿宋" w:hAnsi="仿宋" w:eastAsia="仿宋"/>
          <w:sz w:val="32"/>
        </w:rPr>
        <w:t>加强人大宣传工作</w:t>
      </w:r>
    </w:p>
    <w:p>
      <w:pPr>
        <w:spacing w:line="560" w:lineRule="exact"/>
        <w:ind w:firstLine="643" w:firstLineChars="200"/>
        <w:rPr>
          <w:rFonts w:ascii="仿宋_GB2312" w:hAnsi="仿宋_GB2312" w:eastAsia="仿宋_GB2312"/>
          <w:sz w:val="32"/>
        </w:rPr>
      </w:pPr>
      <w:r>
        <w:rPr>
          <w:rFonts w:hint="eastAsia" w:ascii="仿宋" w:hAnsi="仿宋" w:eastAsia="仿宋"/>
          <w:b/>
          <w:bCs/>
          <w:sz w:val="32"/>
          <w:szCs w:val="32"/>
        </w:rPr>
        <w:t>绩效指标：</w:t>
      </w:r>
      <w:r>
        <w:rPr>
          <w:rFonts w:ascii="仿宋_GB2312" w:hAnsi="仿宋_GB2312" w:eastAsia="仿宋_GB2312"/>
          <w:sz w:val="32"/>
        </w:rPr>
        <w:t>内刊和文史</w:t>
      </w:r>
      <w:r>
        <w:rPr>
          <w:rFonts w:hint="eastAsia" w:ascii="仿宋_GB2312" w:hAnsi="仿宋_GB2312" w:eastAsia="仿宋_GB2312"/>
          <w:sz w:val="32"/>
        </w:rPr>
        <w:t>资料</w:t>
      </w:r>
      <w:r>
        <w:rPr>
          <w:rFonts w:ascii="仿宋_GB2312" w:hAnsi="仿宋_GB2312" w:eastAsia="仿宋_GB2312"/>
          <w:sz w:val="32"/>
        </w:rPr>
        <w:t>完成率达到达到</w:t>
      </w:r>
      <w:r>
        <w:rPr>
          <w:rFonts w:hint="eastAsia" w:ascii="仿宋_GB2312" w:hAnsi="仿宋_GB2312" w:eastAsia="仿宋_GB2312"/>
          <w:sz w:val="32"/>
          <w:lang w:val="en-US" w:eastAsia="zh-CN"/>
        </w:rPr>
        <w:t>95</w:t>
      </w:r>
      <w:r>
        <w:rPr>
          <w:rFonts w:ascii="仿宋_GB2312" w:hAnsi="仿宋_GB2312" w:eastAsia="仿宋_GB2312"/>
          <w:sz w:val="32"/>
        </w:rPr>
        <w:t>%。</w:t>
      </w:r>
    </w:p>
    <w:p>
      <w:pPr>
        <w:spacing w:line="560" w:lineRule="exact"/>
        <w:ind w:firstLine="643" w:firstLineChars="200"/>
        <w:rPr>
          <w:rFonts w:hint="eastAsia" w:ascii="黑体" w:hAnsi="黑体" w:eastAsia="黑体" w:cs="黑体"/>
          <w:b w:val="0"/>
          <w:bCs w:val="0"/>
          <w:sz w:val="32"/>
        </w:rPr>
      </w:pPr>
      <w:r>
        <w:rPr>
          <w:rFonts w:hint="eastAsia" w:ascii="仿宋_GB2312" w:hAnsi="仿宋_GB2312" w:eastAsia="仿宋_GB2312" w:cs="仿宋_GB2312"/>
          <w:b/>
          <w:bCs/>
          <w:sz w:val="32"/>
        </w:rPr>
        <w:t>（六）反映社情民意，促进社会和谐稳定</w:t>
      </w:r>
    </w:p>
    <w:p>
      <w:pPr>
        <w:spacing w:line="560" w:lineRule="exact"/>
        <w:ind w:firstLine="643" w:firstLineChars="200"/>
        <w:rPr>
          <w:rFonts w:ascii="仿宋" w:hAnsi="仿宋" w:eastAsia="仿宋"/>
          <w:b/>
          <w:bCs/>
          <w:sz w:val="32"/>
          <w:szCs w:val="32"/>
        </w:rPr>
      </w:pPr>
      <w:r>
        <w:rPr>
          <w:rFonts w:ascii="仿宋" w:hAnsi="仿宋" w:eastAsia="仿宋"/>
          <w:b/>
          <w:bCs/>
          <w:sz w:val="32"/>
          <w:szCs w:val="32"/>
        </w:rPr>
        <w:t>绩效目标</w:t>
      </w:r>
      <w:r>
        <w:rPr>
          <w:rFonts w:hint="eastAsia" w:ascii="仿宋" w:hAnsi="仿宋" w:eastAsia="仿宋"/>
          <w:b/>
          <w:bCs/>
          <w:sz w:val="32"/>
          <w:szCs w:val="32"/>
        </w:rPr>
        <w:t>：</w:t>
      </w:r>
      <w:r>
        <w:rPr>
          <w:rFonts w:ascii="仿宋" w:hAnsi="仿宋" w:eastAsia="仿宋"/>
          <w:sz w:val="32"/>
        </w:rPr>
        <w:t>加大对人民群众关注的热点、难点问题监督力度，促进社会协调发展。</w:t>
      </w:r>
    </w:p>
    <w:p>
      <w:pPr>
        <w:spacing w:line="560" w:lineRule="exact"/>
        <w:ind w:firstLine="643" w:firstLineChars="200"/>
        <w:rPr>
          <w:rFonts w:ascii="仿宋" w:hAnsi="仿宋" w:eastAsia="仿宋"/>
          <w:b/>
          <w:bCs/>
          <w:sz w:val="32"/>
          <w:szCs w:val="32"/>
        </w:rPr>
      </w:pPr>
      <w:r>
        <w:rPr>
          <w:rFonts w:hint="eastAsia" w:ascii="仿宋" w:hAnsi="仿宋" w:eastAsia="仿宋"/>
          <w:b/>
          <w:bCs/>
          <w:sz w:val="32"/>
          <w:szCs w:val="32"/>
        </w:rPr>
        <w:t>绩效指标：</w:t>
      </w:r>
      <w:r>
        <w:rPr>
          <w:rFonts w:ascii="仿宋_GB2312" w:hAnsi="仿宋_GB2312" w:eastAsia="仿宋_GB2312"/>
          <w:sz w:val="32"/>
        </w:rPr>
        <w:t>社情民意反映率达到</w:t>
      </w:r>
      <w:r>
        <w:rPr>
          <w:rFonts w:hint="eastAsia" w:ascii="仿宋_GB2312" w:hAnsi="仿宋_GB2312" w:eastAsia="仿宋_GB2312"/>
          <w:sz w:val="32"/>
        </w:rPr>
        <w:t>95</w:t>
      </w:r>
      <w:r>
        <w:rPr>
          <w:rFonts w:ascii="仿宋_GB2312" w:hAnsi="仿宋_GB2312" w:eastAsia="仿宋_GB2312"/>
          <w:sz w:val="32"/>
        </w:rPr>
        <w:t>%</w:t>
      </w:r>
      <w:r>
        <w:rPr>
          <w:rFonts w:hint="eastAsia" w:ascii="仿宋_GB2312" w:hAnsi="仿宋_GB2312" w:eastAsia="仿宋_GB2312"/>
          <w:sz w:val="32"/>
        </w:rPr>
        <w:t>以上</w:t>
      </w:r>
      <w:r>
        <w:rPr>
          <w:rFonts w:ascii="仿宋_GB2312" w:hAnsi="仿宋_GB2312" w:eastAsia="仿宋_GB2312"/>
          <w:sz w:val="32"/>
        </w:rPr>
        <w:t>。</w:t>
      </w:r>
    </w:p>
    <w:p>
      <w:pPr>
        <w:spacing w:line="560" w:lineRule="exact"/>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（七）</w:t>
      </w:r>
      <w:r>
        <w:rPr>
          <w:rFonts w:hint="eastAsia" w:ascii="仿宋_GB2312" w:hAnsi="仿宋_GB2312" w:eastAsia="仿宋_GB2312" w:cs="仿宋_GB2312"/>
          <w:b/>
          <w:bCs/>
          <w:sz w:val="32"/>
        </w:rPr>
        <w:t>提高提案质量和办理质量</w:t>
      </w:r>
    </w:p>
    <w:p>
      <w:pPr>
        <w:pStyle w:val="17"/>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40" w:lineRule="atLeast"/>
        <w:ind w:firstLine="640"/>
        <w:rPr>
          <w:rFonts w:ascii="仿宋" w:hAnsi="仿宋" w:eastAsia="仿宋"/>
          <w:b/>
          <w:bCs/>
          <w:sz w:val="32"/>
          <w:szCs w:val="32"/>
        </w:rPr>
      </w:pPr>
      <w:r>
        <w:rPr>
          <w:rFonts w:ascii="仿宋" w:hAnsi="仿宋" w:eastAsia="仿宋"/>
          <w:b/>
          <w:bCs/>
          <w:sz w:val="32"/>
          <w:szCs w:val="32"/>
        </w:rPr>
        <w:t>绩效目标</w:t>
      </w:r>
      <w:r>
        <w:rPr>
          <w:rFonts w:hint="eastAsia" w:ascii="仿宋" w:hAnsi="仿宋" w:eastAsia="仿宋"/>
          <w:b/>
          <w:bCs/>
          <w:sz w:val="32"/>
          <w:szCs w:val="32"/>
        </w:rPr>
        <w:t>：</w:t>
      </w:r>
      <w:r>
        <w:rPr>
          <w:rFonts w:ascii="仿宋" w:hAnsi="仿宋" w:eastAsia="仿宋"/>
          <w:sz w:val="32"/>
        </w:rPr>
        <w:t>积极反映人民群众的呼声，加大对人民群众关注的热点、难点问题</w:t>
      </w:r>
      <w:r>
        <w:rPr>
          <w:rFonts w:hint="eastAsia" w:ascii="仿宋" w:hAnsi="仿宋" w:eastAsia="仿宋"/>
          <w:sz w:val="32"/>
          <w:lang w:eastAsia="zh-CN"/>
        </w:rPr>
        <w:t>解决</w:t>
      </w:r>
      <w:r>
        <w:rPr>
          <w:rFonts w:ascii="仿宋" w:hAnsi="仿宋" w:eastAsia="仿宋"/>
          <w:sz w:val="32"/>
        </w:rPr>
        <w:t>力度，更好维护人民群众的合法权益</w:t>
      </w:r>
      <w:r>
        <w:rPr>
          <w:rFonts w:hint="eastAsia" w:ascii="仿宋" w:hAnsi="仿宋" w:eastAsia="仿宋"/>
          <w:sz w:val="32"/>
          <w:lang w:eastAsia="zh-CN"/>
        </w:rPr>
        <w:t>，</w:t>
      </w:r>
      <w:r>
        <w:rPr>
          <w:rFonts w:ascii="仿宋" w:hAnsi="仿宋" w:eastAsia="仿宋"/>
          <w:sz w:val="32"/>
        </w:rPr>
        <w:t>促进社会协调发展。</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84" w:lineRule="exact"/>
        <w:ind w:firstLine="630"/>
        <w:rPr>
          <w:sz w:val="32"/>
        </w:rPr>
      </w:pPr>
      <w:r>
        <w:rPr>
          <w:rFonts w:hint="eastAsia" w:ascii="仿宋" w:hAnsi="仿宋" w:eastAsia="仿宋"/>
          <w:b/>
          <w:bCs/>
          <w:sz w:val="32"/>
          <w:szCs w:val="32"/>
        </w:rPr>
        <w:t>绩效指标：</w:t>
      </w:r>
      <w:r>
        <w:rPr>
          <w:rFonts w:ascii="仿宋_GB2312" w:hAnsi="仿宋_GB2312" w:eastAsia="仿宋_GB2312"/>
          <w:sz w:val="32"/>
        </w:rPr>
        <w:t>重点课题和专题调研完成率</w:t>
      </w:r>
      <w:r>
        <w:rPr>
          <w:rFonts w:hint="eastAsia" w:ascii="仿宋_GB2312" w:hAnsi="仿宋_GB2312" w:eastAsia="仿宋_GB2312"/>
          <w:sz w:val="32"/>
        </w:rPr>
        <w:t>95</w:t>
      </w:r>
      <w:r>
        <w:rPr>
          <w:rFonts w:ascii="仿宋_GB2312" w:hAnsi="仿宋_GB2312" w:eastAsia="仿宋_GB2312"/>
          <w:sz w:val="32"/>
        </w:rPr>
        <w:t>%</w:t>
      </w:r>
      <w:r>
        <w:rPr>
          <w:rFonts w:hint="eastAsia" w:ascii="仿宋_GB2312" w:hAnsi="仿宋_GB2312" w:eastAsia="仿宋_GB2312"/>
          <w:sz w:val="32"/>
        </w:rPr>
        <w:t>以上</w:t>
      </w:r>
      <w:r>
        <w:rPr>
          <w:rFonts w:ascii="仿宋_GB2312" w:hAnsi="仿宋_GB2312" w:eastAsia="仿宋_GB2312"/>
          <w:sz w:val="32"/>
        </w:rPr>
        <w:t>。</w:t>
      </w:r>
    </w:p>
    <w:p>
      <w:pPr>
        <w:spacing w:line="560" w:lineRule="exact"/>
        <w:ind w:firstLine="643" w:firstLineChars="200"/>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（八）</w:t>
      </w:r>
      <w:r>
        <w:rPr>
          <w:rFonts w:hint="eastAsia" w:ascii="仿宋_GB2312" w:hAnsi="仿宋_GB2312" w:eastAsia="仿宋_GB2312" w:cs="仿宋_GB2312"/>
          <w:b/>
          <w:bCs/>
          <w:sz w:val="32"/>
          <w:szCs w:val="32"/>
          <w:lang w:eastAsia="zh-CN"/>
        </w:rPr>
        <w:t>加强代表履职能力</w:t>
      </w:r>
    </w:p>
    <w:p>
      <w:pPr>
        <w:spacing w:line="560" w:lineRule="exact"/>
        <w:ind w:firstLine="643" w:firstLineChars="200"/>
        <w:rPr>
          <w:rFonts w:ascii="仿宋" w:hAnsi="仿宋" w:eastAsia="仿宋"/>
          <w:b/>
          <w:bCs/>
          <w:sz w:val="32"/>
          <w:szCs w:val="32"/>
        </w:rPr>
      </w:pPr>
      <w:r>
        <w:rPr>
          <w:rFonts w:ascii="仿宋" w:hAnsi="仿宋" w:eastAsia="仿宋"/>
          <w:b/>
          <w:bCs/>
          <w:sz w:val="32"/>
          <w:szCs w:val="32"/>
        </w:rPr>
        <w:t>绩效目标</w:t>
      </w:r>
      <w:r>
        <w:rPr>
          <w:rFonts w:hint="eastAsia" w:ascii="仿宋" w:hAnsi="仿宋" w:eastAsia="仿宋"/>
          <w:b/>
          <w:bCs/>
          <w:sz w:val="32"/>
          <w:szCs w:val="32"/>
        </w:rPr>
        <w:t>：</w:t>
      </w:r>
      <w:r>
        <w:rPr>
          <w:rFonts w:hint="eastAsia" w:ascii="仿宋" w:hAnsi="仿宋" w:eastAsia="仿宋"/>
          <w:b w:val="0"/>
          <w:bCs w:val="0"/>
          <w:sz w:val="32"/>
          <w:szCs w:val="32"/>
        </w:rPr>
        <w:t>提高法规质量，保障其有效实施；发挥常委及代表的桥梁纽带作用，集中反映民意，促进依法履职</w:t>
      </w:r>
      <w:r>
        <w:rPr>
          <w:rFonts w:hint="eastAsia" w:ascii="仿宋" w:hAnsi="仿宋" w:eastAsia="仿宋"/>
          <w:sz w:val="32"/>
          <w:szCs w:val="32"/>
          <w:lang w:eastAsia="zh-CN"/>
        </w:rPr>
        <w:t>，</w:t>
      </w:r>
      <w:r>
        <w:rPr>
          <w:rFonts w:ascii="仿宋_GB2312" w:hAnsi="仿宋_GB2312" w:eastAsia="仿宋_GB2312"/>
          <w:sz w:val="32"/>
        </w:rPr>
        <w:t>提高</w:t>
      </w:r>
      <w:r>
        <w:rPr>
          <w:rFonts w:hint="eastAsia" w:ascii="仿宋_GB2312" w:hAnsi="仿宋_GB2312" w:eastAsia="仿宋_GB2312"/>
          <w:sz w:val="32"/>
        </w:rPr>
        <w:t>议案审查</w:t>
      </w:r>
      <w:r>
        <w:rPr>
          <w:rFonts w:ascii="仿宋_GB2312" w:hAnsi="仿宋_GB2312" w:eastAsia="仿宋_GB2312"/>
          <w:sz w:val="32"/>
        </w:rPr>
        <w:t>水平。</w:t>
      </w:r>
    </w:p>
    <w:p>
      <w:pPr>
        <w:spacing w:line="560" w:lineRule="exact"/>
        <w:ind w:firstLine="643" w:firstLineChars="200"/>
        <w:rPr>
          <w:rFonts w:ascii="仿宋" w:hAnsi="仿宋" w:eastAsia="仿宋"/>
          <w:b/>
          <w:bCs/>
          <w:sz w:val="32"/>
          <w:szCs w:val="32"/>
        </w:rPr>
      </w:pPr>
      <w:r>
        <w:rPr>
          <w:rFonts w:hint="eastAsia" w:ascii="仿宋" w:hAnsi="仿宋" w:eastAsia="仿宋"/>
          <w:b/>
          <w:bCs/>
          <w:sz w:val="32"/>
          <w:szCs w:val="32"/>
        </w:rPr>
        <w:t>绩效指标：</w:t>
      </w:r>
      <w:r>
        <w:rPr>
          <w:rFonts w:hint="eastAsia" w:ascii="仿宋" w:hAnsi="仿宋" w:eastAsia="仿宋"/>
          <w:sz w:val="32"/>
          <w:szCs w:val="32"/>
        </w:rPr>
        <w:t>议案审查完成率9</w:t>
      </w:r>
      <w:r>
        <w:rPr>
          <w:rFonts w:hint="eastAsia" w:ascii="仿宋" w:hAnsi="仿宋" w:eastAsia="仿宋"/>
          <w:sz w:val="32"/>
          <w:szCs w:val="32"/>
          <w:lang w:val="en-US" w:eastAsia="zh-CN"/>
        </w:rPr>
        <w:t>5</w:t>
      </w:r>
      <w:r>
        <w:rPr>
          <w:rFonts w:hint="eastAsia" w:ascii="仿宋" w:hAnsi="仿宋" w:eastAsia="仿宋"/>
          <w:sz w:val="32"/>
          <w:szCs w:val="32"/>
        </w:rPr>
        <w:t>%以上。</w:t>
      </w:r>
    </w:p>
    <w:p>
      <w:pPr>
        <w:spacing w:line="560" w:lineRule="exact"/>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（九）</w:t>
      </w:r>
      <w:r>
        <w:rPr>
          <w:rFonts w:hint="eastAsia" w:ascii="仿宋_GB2312" w:hAnsi="仿宋_GB2312" w:eastAsia="仿宋_GB2312" w:cs="仿宋_GB2312"/>
          <w:b/>
          <w:bCs/>
          <w:sz w:val="32"/>
        </w:rPr>
        <w:t>加强人大常委会及机关自身建设</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20" w:lineRule="exact"/>
        <w:ind w:firstLine="560"/>
        <w:rPr>
          <w:rFonts w:ascii="仿宋" w:hAnsi="仿宋" w:eastAsia="仿宋"/>
          <w:sz w:val="32"/>
        </w:rPr>
      </w:pPr>
      <w:r>
        <w:rPr>
          <w:rFonts w:ascii="仿宋" w:hAnsi="仿宋" w:eastAsia="仿宋"/>
          <w:b/>
          <w:bCs/>
          <w:sz w:val="32"/>
          <w:szCs w:val="32"/>
        </w:rPr>
        <w:t>绩效目标</w:t>
      </w:r>
      <w:r>
        <w:rPr>
          <w:rFonts w:hint="eastAsia" w:ascii="仿宋" w:hAnsi="仿宋" w:eastAsia="仿宋"/>
          <w:b/>
          <w:bCs/>
          <w:sz w:val="32"/>
          <w:szCs w:val="32"/>
        </w:rPr>
        <w:t>：</w:t>
      </w:r>
      <w:r>
        <w:rPr>
          <w:rFonts w:ascii="仿宋" w:hAnsi="仿宋" w:eastAsia="仿宋"/>
          <w:sz w:val="32"/>
        </w:rPr>
        <w:t>进一步加强人大常委会及机关自身建设，</w:t>
      </w:r>
      <w:r>
        <w:rPr>
          <w:rFonts w:hint="eastAsia" w:ascii="仿宋" w:hAnsi="仿宋" w:eastAsia="仿宋"/>
          <w:sz w:val="32"/>
          <w:lang w:eastAsia="zh-CN"/>
        </w:rPr>
        <w:t>建</w:t>
      </w:r>
      <w:r>
        <w:rPr>
          <w:rFonts w:ascii="仿宋" w:hAnsi="仿宋" w:eastAsia="仿宋"/>
          <w:sz w:val="32"/>
        </w:rPr>
        <w:t>立和完善规章制度，提高机关科学化管理水平</w:t>
      </w:r>
      <w:r>
        <w:rPr>
          <w:rFonts w:hint="eastAsia" w:ascii="仿宋" w:hAnsi="仿宋" w:eastAsia="仿宋"/>
          <w:sz w:val="32"/>
          <w:lang w:eastAsia="zh-CN"/>
        </w:rPr>
        <w:t>和</w:t>
      </w:r>
      <w:r>
        <w:rPr>
          <w:rFonts w:ascii="仿宋_GB2312" w:hAnsi="仿宋_GB2312" w:eastAsia="仿宋_GB2312"/>
          <w:sz w:val="32"/>
        </w:rPr>
        <w:t>机关事务服务保障能力</w:t>
      </w:r>
      <w:r>
        <w:rPr>
          <w:rFonts w:ascii="仿宋" w:hAnsi="仿宋" w:eastAsia="仿宋"/>
          <w:sz w:val="32"/>
        </w:rPr>
        <w:t>。</w:t>
      </w:r>
    </w:p>
    <w:p>
      <w:pPr>
        <w:spacing w:line="560" w:lineRule="exact"/>
        <w:ind w:firstLine="643" w:firstLineChars="200"/>
        <w:rPr>
          <w:rFonts w:ascii="仿宋_GB2312" w:hAnsi="仿宋_GB2312" w:eastAsia="仿宋_GB2312"/>
          <w:sz w:val="32"/>
        </w:rPr>
      </w:pPr>
      <w:r>
        <w:rPr>
          <w:rFonts w:hint="eastAsia" w:ascii="仿宋" w:hAnsi="仿宋" w:eastAsia="仿宋"/>
          <w:b/>
          <w:bCs/>
          <w:sz w:val="32"/>
          <w:szCs w:val="32"/>
        </w:rPr>
        <w:t>绩效指标：</w:t>
      </w:r>
      <w:r>
        <w:rPr>
          <w:rFonts w:ascii="仿宋_GB2312" w:hAnsi="仿宋_GB2312" w:eastAsia="仿宋_GB2312"/>
          <w:sz w:val="32"/>
        </w:rPr>
        <w:t>综合事务保障率达到</w:t>
      </w:r>
      <w:r>
        <w:rPr>
          <w:rFonts w:hint="eastAsia" w:ascii="仿宋_GB2312" w:hAnsi="仿宋_GB2312" w:eastAsia="仿宋_GB2312"/>
          <w:sz w:val="32"/>
          <w:lang w:val="en-US" w:eastAsia="zh-CN"/>
        </w:rPr>
        <w:t>95</w:t>
      </w:r>
      <w:r>
        <w:rPr>
          <w:rFonts w:ascii="仿宋_GB2312" w:hAnsi="仿宋_GB2312" w:eastAsia="仿宋_GB2312"/>
          <w:sz w:val="32"/>
        </w:rPr>
        <w:t>%。</w:t>
      </w:r>
    </w:p>
    <w:p>
      <w:pPr>
        <w:spacing w:line="584" w:lineRule="exact"/>
        <w:ind w:firstLine="643"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（三）工作保障措施</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492" w:lineRule="exact"/>
        <w:rPr>
          <w:rFonts w:ascii="仿宋" w:hAnsi="仿宋" w:eastAsia="仿宋"/>
          <w:sz w:val="32"/>
          <w:szCs w:val="32"/>
        </w:rPr>
      </w:pPr>
      <w:r>
        <w:rPr>
          <w:rFonts w:hint="eastAsia" w:ascii="楷体" w:hAnsi="楷体" w:eastAsia="楷体"/>
          <w:b/>
          <w:sz w:val="32"/>
          <w:szCs w:val="32"/>
        </w:rPr>
        <w:t>（一）</w:t>
      </w:r>
      <w:r>
        <w:rPr>
          <w:rFonts w:ascii="楷体" w:hAnsi="楷体" w:eastAsia="楷体"/>
          <w:b/>
          <w:sz w:val="32"/>
          <w:szCs w:val="32"/>
        </w:rPr>
        <w:t>强化领导，统筹协调。</w:t>
      </w:r>
      <w:r>
        <w:rPr>
          <w:rFonts w:ascii="仿宋" w:hAnsi="仿宋" w:eastAsia="仿宋"/>
          <w:sz w:val="32"/>
          <w:szCs w:val="32"/>
        </w:rPr>
        <w:t>制定</w:t>
      </w:r>
      <w:r>
        <w:rPr>
          <w:rFonts w:hint="eastAsia" w:ascii="仿宋" w:hAnsi="仿宋" w:eastAsia="仿宋"/>
          <w:sz w:val="32"/>
          <w:szCs w:val="32"/>
        </w:rPr>
        <w:t>县</w:t>
      </w:r>
      <w:r>
        <w:rPr>
          <w:rFonts w:ascii="仿宋" w:hAnsi="仿宋" w:eastAsia="仿宋"/>
          <w:sz w:val="32"/>
          <w:szCs w:val="32"/>
        </w:rPr>
        <w:t>人大常委会工作要点，总体谋划2020年</w:t>
      </w:r>
      <w:r>
        <w:rPr>
          <w:rFonts w:hint="eastAsia" w:ascii="仿宋" w:hAnsi="仿宋" w:eastAsia="仿宋"/>
          <w:sz w:val="32"/>
          <w:szCs w:val="32"/>
        </w:rPr>
        <w:t>县</w:t>
      </w:r>
      <w:r>
        <w:rPr>
          <w:rFonts w:ascii="仿宋" w:hAnsi="仿宋" w:eastAsia="仿宋"/>
          <w:sz w:val="32"/>
          <w:szCs w:val="32"/>
        </w:rPr>
        <w:t>人大常委会立法、监督、决定、任免、代表和自身建设等各项工作。每项工作明确目标任务、方式方法、时间要求、责任主体等，充分体现法定性与灵活性相统一、针对性与可操作性相结合。重要工作成立领导小组，统筹协调、强化指导，建立上下畅通、联动有力的工作制度和工作机构，确保人大各项工作有序、有效开展。</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492" w:lineRule="exact"/>
        <w:ind w:firstLine="560"/>
        <w:rPr>
          <w:rFonts w:ascii="仿宋" w:hAnsi="仿宋" w:eastAsia="仿宋"/>
          <w:sz w:val="32"/>
          <w:szCs w:val="32"/>
        </w:rPr>
      </w:pPr>
      <w:r>
        <w:rPr>
          <w:rFonts w:hint="eastAsia" w:ascii="楷体" w:hAnsi="楷体" w:eastAsia="楷体"/>
          <w:b/>
          <w:sz w:val="32"/>
          <w:szCs w:val="32"/>
        </w:rPr>
        <w:t>（二）</w:t>
      </w:r>
      <w:r>
        <w:rPr>
          <w:rFonts w:ascii="楷体" w:hAnsi="楷体" w:eastAsia="楷体"/>
          <w:b/>
          <w:sz w:val="32"/>
          <w:szCs w:val="32"/>
        </w:rPr>
        <w:t>创新方式，深入调研。</w:t>
      </w:r>
      <w:r>
        <w:rPr>
          <w:rFonts w:ascii="仿宋" w:hAnsi="仿宋" w:eastAsia="仿宋"/>
          <w:sz w:val="32"/>
          <w:szCs w:val="32"/>
        </w:rPr>
        <w:t>强化创新意识，针对不同工作任务，合理运用推进方式，科学调配工作手段，提高综合工作效能，实现工作效果最大化。把深入开展调查研究作为提升工作成效的重要手段，通过深入基层广泛听取意见、建议，找准问题症结所在、矛盾的焦点所在、辨证施治的靶向所在。同时，在工作开展中，依托“代表联络站”，广泛凝聚民情民意，充分发挥代表的主体作用。</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492" w:lineRule="exact"/>
        <w:ind w:firstLine="560"/>
        <w:rPr>
          <w:rFonts w:ascii="仿宋" w:hAnsi="仿宋" w:eastAsia="仿宋"/>
          <w:sz w:val="32"/>
          <w:szCs w:val="32"/>
        </w:rPr>
      </w:pPr>
      <w:r>
        <w:rPr>
          <w:rFonts w:hint="eastAsia" w:ascii="楷体" w:hAnsi="楷体" w:eastAsia="楷体"/>
          <w:b/>
          <w:bCs/>
          <w:sz w:val="32"/>
          <w:szCs w:val="32"/>
        </w:rPr>
        <w:t>（三）完善制度建设。</w:t>
      </w:r>
      <w:r>
        <w:rPr>
          <w:rFonts w:ascii="仿宋" w:hAnsi="仿宋" w:eastAsia="仿宋"/>
          <w:sz w:val="32"/>
          <w:szCs w:val="32"/>
        </w:rPr>
        <w:t>健全立法监督等工作制度，丰富履职手段，理顺工作关系，打造高效规范合理有序的履职模式。制定和完善市人大常委会机关预算绩效管理制度，按照预算绩效管理要求，相应健全完善机关财务管理办法。</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492" w:lineRule="exact"/>
        <w:ind w:firstLine="560"/>
        <w:rPr>
          <w:rFonts w:ascii="仿宋" w:hAnsi="仿宋" w:eastAsia="仿宋"/>
          <w:sz w:val="32"/>
          <w:szCs w:val="32"/>
        </w:rPr>
      </w:pPr>
      <w:r>
        <w:rPr>
          <w:rFonts w:hint="eastAsia" w:ascii="楷体" w:hAnsi="楷体" w:eastAsia="楷体"/>
          <w:b/>
          <w:bCs/>
          <w:sz w:val="32"/>
          <w:szCs w:val="32"/>
        </w:rPr>
        <w:t>（四）加强支出管理。</w:t>
      </w:r>
      <w:r>
        <w:rPr>
          <w:rFonts w:ascii="仿宋" w:hAnsi="仿宋" w:eastAsia="仿宋"/>
          <w:sz w:val="32"/>
          <w:szCs w:val="32"/>
        </w:rPr>
        <w:t>通过对下一年度预算的科学、详实、有序的编制，按照批复的年初预算，加快预算支出管理，根据工作要点安排和各项活动安排，尽快启动项目，及时支付项目资金，确保支出进度达标。同时，加快履行政府采购程序，对相关采购项目提早着手，尽早完成预算安排。</w:t>
      </w:r>
    </w:p>
    <w:p>
      <w:pPr>
        <w:spacing w:line="560" w:lineRule="exact"/>
        <w:ind w:firstLine="643" w:firstLineChars="200"/>
        <w:rPr>
          <w:rFonts w:ascii="仿宋" w:hAnsi="仿宋" w:eastAsia="仿宋"/>
          <w:sz w:val="32"/>
          <w:szCs w:val="32"/>
        </w:rPr>
      </w:pPr>
      <w:r>
        <w:rPr>
          <w:rFonts w:hint="eastAsia" w:ascii="楷体" w:hAnsi="楷体" w:eastAsia="楷体"/>
          <w:b/>
          <w:bCs/>
          <w:sz w:val="32"/>
          <w:szCs w:val="32"/>
        </w:rPr>
        <w:t>（五）加强绩效运行监控。</w:t>
      </w:r>
      <w:r>
        <w:rPr>
          <w:rFonts w:ascii="仿宋" w:hAnsi="仿宋" w:eastAsia="仿宋"/>
          <w:sz w:val="32"/>
          <w:szCs w:val="32"/>
        </w:rPr>
        <w:t>按照预算绩效管理办法要求，开展项目绩效运行监控，同工作开展情况相联系，及时进行项目工作督导，确保绩效目标保质保量完成，达到预期效果。</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492" w:lineRule="exact"/>
        <w:ind w:firstLine="560"/>
        <w:rPr>
          <w:rFonts w:ascii="仿宋" w:hAnsi="仿宋" w:eastAsia="仿宋"/>
          <w:sz w:val="32"/>
          <w:szCs w:val="32"/>
        </w:rPr>
      </w:pPr>
      <w:r>
        <w:rPr>
          <w:rFonts w:hint="eastAsia" w:ascii="楷体" w:hAnsi="楷体" w:eastAsia="楷体"/>
          <w:b/>
          <w:bCs/>
          <w:sz w:val="32"/>
          <w:szCs w:val="32"/>
        </w:rPr>
        <w:t>（六）做好绩效自评。</w:t>
      </w:r>
      <w:r>
        <w:rPr>
          <w:rFonts w:ascii="仿宋" w:hAnsi="仿宋" w:eastAsia="仿宋"/>
          <w:sz w:val="32"/>
          <w:szCs w:val="32"/>
        </w:rPr>
        <w:t>按照预算绩效管理办法规定，开展上年度部门预算绩效自评和重点评价工作，对评价中发现的问题及时整改，调整优化支出结构，提高财政资金使用效益。</w:t>
      </w:r>
    </w:p>
    <w:p>
      <w:pPr>
        <w:spacing w:line="560" w:lineRule="exact"/>
        <w:ind w:firstLine="643" w:firstLineChars="200"/>
        <w:rPr>
          <w:rFonts w:ascii="仿宋" w:hAnsi="仿宋" w:eastAsia="仿宋"/>
          <w:sz w:val="32"/>
          <w:szCs w:val="32"/>
        </w:rPr>
      </w:pPr>
      <w:r>
        <w:rPr>
          <w:rFonts w:hint="eastAsia" w:ascii="楷体" w:hAnsi="楷体" w:eastAsia="楷体"/>
          <w:b/>
          <w:bCs/>
          <w:sz w:val="32"/>
          <w:szCs w:val="32"/>
        </w:rPr>
        <w:t>（七）规范财务资产管理。</w:t>
      </w:r>
      <w:r>
        <w:rPr>
          <w:rFonts w:ascii="仿宋" w:hAnsi="仿宋" w:eastAsia="仿宋"/>
          <w:sz w:val="32"/>
          <w:szCs w:val="32"/>
        </w:rPr>
        <w:t>健全完善机关财务管理办法，严格预算资金的审批程序。加强固定资产购置、使用、登记和报废处置管理，做到事前有审批，事后有验收。</w:t>
      </w:r>
    </w:p>
    <w:p>
      <w:pPr>
        <w:spacing w:line="560" w:lineRule="exact"/>
        <w:ind w:firstLine="643" w:firstLineChars="200"/>
        <w:rPr>
          <w:rFonts w:ascii="仿宋" w:hAnsi="仿宋" w:eastAsia="仿宋"/>
          <w:sz w:val="32"/>
          <w:szCs w:val="32"/>
        </w:rPr>
      </w:pPr>
      <w:r>
        <w:rPr>
          <w:rFonts w:hint="eastAsia" w:ascii="楷体" w:hAnsi="楷体" w:eastAsia="楷体"/>
          <w:b/>
          <w:bCs/>
          <w:sz w:val="32"/>
          <w:szCs w:val="32"/>
        </w:rPr>
        <w:t>（八）加强内部监督。</w:t>
      </w:r>
      <w:r>
        <w:rPr>
          <w:rFonts w:ascii="仿宋" w:hAnsi="仿宋" w:eastAsia="仿宋"/>
          <w:sz w:val="32"/>
          <w:szCs w:val="32"/>
        </w:rPr>
        <w:t>按照机关“三重一大”制度管理要求，加强预算项目资金管理，大额资金必须经机关党组会议讨论通过后执行。对预算绩效和预算支出进度情况进行及时检查督促，保证项目资金的安全有效。做好每年度收支内部审计工作。</w:t>
      </w:r>
    </w:p>
    <w:p>
      <w:pPr>
        <w:spacing w:line="560" w:lineRule="exact"/>
        <w:ind w:firstLine="643" w:firstLineChars="200"/>
        <w:rPr>
          <w:rFonts w:ascii="仿宋" w:hAnsi="仿宋" w:eastAsia="仿宋"/>
          <w:sz w:val="32"/>
          <w:szCs w:val="32"/>
        </w:rPr>
      </w:pPr>
      <w:r>
        <w:rPr>
          <w:rFonts w:hint="eastAsia" w:ascii="楷体" w:hAnsi="楷体" w:eastAsia="楷体"/>
          <w:b/>
          <w:bCs/>
          <w:sz w:val="32"/>
          <w:szCs w:val="32"/>
        </w:rPr>
        <w:t>（九）加强宣传培训调研。</w:t>
      </w:r>
      <w:r>
        <w:rPr>
          <w:rFonts w:hint="eastAsia" w:ascii="仿宋" w:hAnsi="仿宋" w:eastAsia="仿宋"/>
          <w:sz w:val="32"/>
          <w:szCs w:val="32"/>
        </w:rPr>
        <w:t>加强人员培训，提高本部门职工业务素质；加强调研，提出优化财政资金配置、提高资金使用效益的意见；加大宣传力度，强化预算绩效管理意识，促进预算绩效管理水平进一步提升。</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492" w:lineRule="exact"/>
        <w:ind w:firstLine="560"/>
        <w:rPr>
          <w:rFonts w:ascii="仿宋" w:hAnsi="仿宋" w:eastAsia="仿宋"/>
          <w:sz w:val="32"/>
          <w:szCs w:val="32"/>
        </w:rPr>
      </w:pPr>
    </w:p>
    <w:p>
      <w:pPr>
        <w:spacing w:line="584" w:lineRule="exact"/>
        <w:ind w:firstLine="640" w:firstLineChars="200"/>
        <w:rPr>
          <w:rFonts w:hint="eastAsia" w:ascii="Times New Roman" w:hAnsi="黑体" w:eastAsia="黑体" w:cs="Times New Roman"/>
          <w:sz w:val="32"/>
          <w:szCs w:val="32"/>
        </w:rPr>
      </w:pPr>
    </w:p>
    <w:p>
      <w:pPr>
        <w:spacing w:line="584" w:lineRule="exact"/>
        <w:ind w:firstLine="640" w:firstLineChars="200"/>
        <w:rPr>
          <w:rFonts w:hint="eastAsia" w:ascii="Times New Roman" w:hAnsi="黑体" w:eastAsia="黑体" w:cs="Times New Roman"/>
          <w:sz w:val="32"/>
          <w:szCs w:val="32"/>
        </w:rPr>
      </w:pPr>
    </w:p>
    <w:p>
      <w:pPr>
        <w:spacing w:line="584" w:lineRule="exact"/>
        <w:ind w:firstLine="640" w:firstLineChars="200"/>
        <w:rPr>
          <w:rFonts w:hint="eastAsia" w:ascii="Times New Roman" w:hAnsi="黑体" w:eastAsia="黑体" w:cs="Times New Roman"/>
          <w:sz w:val="32"/>
          <w:szCs w:val="32"/>
        </w:rPr>
      </w:pPr>
    </w:p>
    <w:p>
      <w:pPr>
        <w:spacing w:line="584" w:lineRule="exact"/>
        <w:ind w:firstLine="640" w:firstLineChars="200"/>
        <w:rPr>
          <w:rFonts w:hint="eastAsia" w:ascii="Times New Roman" w:hAnsi="黑体" w:eastAsia="黑体" w:cs="Times New Roman"/>
          <w:sz w:val="32"/>
          <w:szCs w:val="32"/>
        </w:rPr>
      </w:pPr>
    </w:p>
    <w:p>
      <w:pPr>
        <w:spacing w:line="584" w:lineRule="exact"/>
        <w:ind w:firstLine="640" w:firstLineChars="200"/>
        <w:rPr>
          <w:rFonts w:hint="eastAsia" w:ascii="Times New Roman" w:hAnsi="黑体" w:eastAsia="黑体" w:cs="Times New Roman"/>
          <w:sz w:val="32"/>
          <w:szCs w:val="32"/>
        </w:rPr>
      </w:pPr>
    </w:p>
    <w:p>
      <w:pPr>
        <w:spacing w:line="584" w:lineRule="exact"/>
        <w:ind w:firstLine="640" w:firstLineChars="200"/>
        <w:rPr>
          <w:rFonts w:hint="eastAsia" w:ascii="Times New Roman" w:hAnsi="黑体" w:eastAsia="黑体" w:cs="Times New Roman"/>
          <w:sz w:val="32"/>
          <w:szCs w:val="32"/>
        </w:rPr>
      </w:pPr>
    </w:p>
    <w:p>
      <w:pPr>
        <w:spacing w:line="584" w:lineRule="exact"/>
        <w:ind w:firstLine="640" w:firstLineChars="200"/>
        <w:rPr>
          <w:rFonts w:hint="eastAsia" w:ascii="Times New Roman" w:hAnsi="黑体" w:eastAsia="黑体" w:cs="Times New Roman"/>
          <w:sz w:val="32"/>
          <w:szCs w:val="32"/>
        </w:rPr>
      </w:pPr>
    </w:p>
    <w:p>
      <w:pPr>
        <w:spacing w:line="584" w:lineRule="exact"/>
        <w:ind w:firstLine="640" w:firstLineChars="200"/>
        <w:rPr>
          <w:rFonts w:hint="eastAsia" w:ascii="Times New Roman" w:hAnsi="黑体" w:eastAsia="黑体" w:cs="Times New Roman"/>
          <w:sz w:val="32"/>
          <w:szCs w:val="32"/>
        </w:rPr>
      </w:pPr>
      <w:r>
        <w:rPr>
          <w:rFonts w:hint="eastAsia" w:ascii="Times New Roman" w:hAnsi="黑体" w:eastAsia="黑体" w:cs="Times New Roman"/>
          <w:sz w:val="32"/>
          <w:szCs w:val="32"/>
        </w:rPr>
        <w:t>第二部分 资金绩效目标</w:t>
      </w:r>
    </w:p>
    <w:bookmarkEnd w:id="0"/>
    <w:tbl>
      <w:tblPr>
        <w:tblStyle w:val="9"/>
        <w:tblpPr w:leftFromText="180" w:rightFromText="180" w:vertAnchor="page" w:horzAnchor="page" w:tblpX="1540" w:tblpY="2351"/>
        <w:tblOverlap w:val="never"/>
        <w:tblW w:w="14743" w:type="dxa"/>
        <w:tblInd w:w="0" w:type="dxa"/>
        <w:tblLayout w:type="fixed"/>
        <w:tblCellMar>
          <w:top w:w="0" w:type="dxa"/>
          <w:left w:w="108" w:type="dxa"/>
          <w:bottom w:w="0" w:type="dxa"/>
          <w:right w:w="108" w:type="dxa"/>
        </w:tblCellMar>
      </w:tblPr>
      <w:tblGrid>
        <w:gridCol w:w="1660"/>
        <w:gridCol w:w="1913"/>
        <w:gridCol w:w="2033"/>
        <w:gridCol w:w="3939"/>
        <w:gridCol w:w="481"/>
        <w:gridCol w:w="1278"/>
        <w:gridCol w:w="1296"/>
        <w:gridCol w:w="2143"/>
      </w:tblGrid>
      <w:tr>
        <w:tblPrEx>
          <w:tblCellMar>
            <w:top w:w="0" w:type="dxa"/>
            <w:left w:w="108" w:type="dxa"/>
            <w:bottom w:w="0" w:type="dxa"/>
            <w:right w:w="108" w:type="dxa"/>
          </w:tblCellMar>
        </w:tblPrEx>
        <w:trPr>
          <w:trHeight w:val="519" w:hRule="atLeast"/>
        </w:trPr>
        <w:tc>
          <w:tcPr>
            <w:tcW w:w="14743" w:type="dxa"/>
            <w:gridSpan w:val="8"/>
            <w:tcBorders>
              <w:top w:val="nil"/>
              <w:left w:val="nil"/>
              <w:bottom w:val="single" w:color="auto" w:sz="4" w:space="0"/>
              <w:right w:val="nil"/>
            </w:tcBorders>
            <w:vAlign w:val="center"/>
          </w:tcPr>
          <w:p>
            <w:pPr>
              <w:widowControl/>
              <w:rPr>
                <w:rFonts w:ascii="宋体" w:hAnsi="宋体" w:eastAsia="宋体" w:cs="宋体"/>
                <w:color w:val="000000"/>
                <w:kern w:val="0"/>
                <w:sz w:val="22"/>
              </w:rPr>
            </w:pPr>
            <w:r>
              <w:rPr>
                <w:rFonts w:ascii="宋体" w:hAnsi="宋体" w:eastAsia="宋体" w:cs="宋体"/>
                <w:b/>
                <w:bCs/>
                <w:color w:val="000000"/>
                <w:kern w:val="0"/>
                <w:sz w:val="32"/>
                <w:szCs w:val="32"/>
              </w:rPr>
              <w:t>1.</w:t>
            </w:r>
            <w:r>
              <w:rPr>
                <w:rFonts w:hint="eastAsia" w:ascii="宋体" w:hAnsi="宋体" w:eastAsia="宋体" w:cs="宋体"/>
                <w:b/>
                <w:bCs/>
                <w:color w:val="000000"/>
                <w:kern w:val="0"/>
                <w:sz w:val="32"/>
                <w:szCs w:val="32"/>
              </w:rPr>
              <w:t>县人大会议经费预算项目绩效目标表</w:t>
            </w:r>
          </w:p>
        </w:tc>
      </w:tr>
      <w:tr>
        <w:tblPrEx>
          <w:tblCellMar>
            <w:top w:w="0" w:type="dxa"/>
            <w:left w:w="108" w:type="dxa"/>
            <w:bottom w:w="0" w:type="dxa"/>
            <w:right w:w="108" w:type="dxa"/>
          </w:tblCellMar>
        </w:tblPrEx>
        <w:trPr>
          <w:trHeight w:val="319"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5198"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县人大会议经费　</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spacing w:line="280" w:lineRule="exact"/>
              <w:jc w:val="left"/>
              <w:rPr>
                <w:rFonts w:ascii="宋体" w:hAnsi="宋体" w:eastAsia="宋体" w:cs="宋体"/>
                <w:kern w:val="0"/>
                <w:sz w:val="18"/>
                <w:szCs w:val="18"/>
              </w:rPr>
            </w:pPr>
            <w:r>
              <w:rPr>
                <w:rFonts w:hint="eastAsia" w:ascii="宋体" w:hAnsi="宋体" w:eastAsia="宋体" w:cs="宋体"/>
                <w:kern w:val="0"/>
                <w:sz w:val="18"/>
                <w:szCs w:val="18"/>
              </w:rPr>
              <w:t>　为保证我县重大决策的科学性和法定性，实施作出有关我县重大问题的决定。，承担县人民代表大会的会前准备、发布公告，各种会议的筹备及文件起草、印刷文件，各种证件准备，笔记本，笔、纸等会议用品，会期三天，代表、列席人员、工作人员食宿餐饮，会议期间开会占堂及宣传开支。</w:t>
            </w:r>
          </w:p>
          <w:p>
            <w:pPr>
              <w:jc w:val="left"/>
              <w:rPr>
                <w:rFonts w:ascii="宋体" w:hAnsi="宋体" w:eastAsia="宋体" w:cs="宋体"/>
                <w:kern w:val="0"/>
                <w:sz w:val="18"/>
                <w:szCs w:val="18"/>
              </w:rPr>
            </w:pPr>
            <w:r>
              <w:rPr>
                <w:rFonts w:hint="eastAsia" w:ascii="宋体" w:hAnsi="宋体" w:eastAsia="宋体" w:cs="宋体"/>
                <w:kern w:val="0"/>
                <w:sz w:val="18"/>
                <w:szCs w:val="18"/>
              </w:rPr>
              <w:t>实施计划：举办1次会议，会期持续3天，计划500人。</w:t>
            </w:r>
          </w:p>
        </w:tc>
      </w:tr>
      <w:tr>
        <w:tblPrEx>
          <w:tblCellMar>
            <w:top w:w="0" w:type="dxa"/>
            <w:left w:w="108" w:type="dxa"/>
            <w:bottom w:w="0" w:type="dxa"/>
            <w:right w:w="108" w:type="dxa"/>
          </w:tblCellMar>
        </w:tblPrEx>
        <w:trPr>
          <w:trHeight w:val="295"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393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267"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60%</w:t>
            </w:r>
          </w:p>
        </w:tc>
        <w:tc>
          <w:tcPr>
            <w:tcW w:w="3939"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90%　</w:t>
            </w:r>
          </w:p>
        </w:tc>
        <w:tc>
          <w:tcPr>
            <w:tcW w:w="3055" w:type="dxa"/>
            <w:gridSpan w:val="3"/>
            <w:tcBorders>
              <w:top w:val="single" w:color="auto" w:sz="4" w:space="0"/>
              <w:left w:val="nil"/>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170" w:type="dxa"/>
            <w:gridSpan w:val="6"/>
            <w:tcBorders>
              <w:top w:val="single" w:color="auto" w:sz="4" w:space="0"/>
              <w:left w:val="nil"/>
              <w:bottom w:val="single" w:color="auto" w:sz="4" w:space="0"/>
              <w:right w:val="single" w:color="000000" w:sz="4" w:space="0"/>
            </w:tcBorders>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在人大代表和县人大常委充分发表审议意见的基础上，作出我县县经济社会发展计划、县总预算和县本级预算等决议。通过听取和审议一府两院等工作报告，作出有关报告的决议。通过质询、专题询问和工作评议的方式就一府两院的工作进行监督。为保证我县重大决策的科学性和法定性，实施作出有关我县重大问题的决定。按照会议规定标准，完成会议期间代表用餐住宿，会议室及会议用品等服务工作，达到代表满意，顺利完成2020年人民代表大会任务。</w:t>
            </w:r>
          </w:p>
        </w:tc>
      </w:tr>
      <w:tr>
        <w:tblPrEx>
          <w:tblCellMar>
            <w:top w:w="0" w:type="dxa"/>
            <w:left w:w="108" w:type="dxa"/>
            <w:bottom w:w="0" w:type="dxa"/>
            <w:right w:w="108" w:type="dxa"/>
          </w:tblCellMar>
        </w:tblPrEx>
        <w:trPr>
          <w:trHeight w:val="35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91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03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393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055"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1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88"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03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3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481"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1278"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29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1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502"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913" w:type="dxa"/>
            <w:tcBorders>
              <w:top w:val="nil"/>
              <w:left w:val="single" w:color="auto" w:sz="4" w:space="0"/>
              <w:bottom w:val="single" w:color="000000"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数量指标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b/>
                <w:bCs/>
                <w:kern w:val="0"/>
                <w:sz w:val="18"/>
                <w:szCs w:val="18"/>
                <w:lang w:val="en-US" w:eastAsia="zh-CN" w:bidi="ar-SA"/>
              </w:rPr>
            </w:pPr>
            <w:r>
              <w:rPr>
                <w:rFonts w:hint="eastAsia" w:ascii="宋体" w:hAnsi="宋体" w:eastAsia="宋体" w:cs="宋体"/>
                <w:kern w:val="0"/>
                <w:sz w:val="18"/>
                <w:szCs w:val="18"/>
              </w:rPr>
              <w:t>保障会议天数</w:t>
            </w:r>
            <w:r>
              <w:rPr>
                <w:rFonts w:hint="eastAsia" w:ascii="宋体" w:hAnsi="宋体" w:eastAsia="宋体" w:cs="宋体"/>
                <w:b/>
                <w:bCs/>
                <w:kern w:val="0"/>
                <w:sz w:val="18"/>
                <w:szCs w:val="18"/>
              </w:rPr>
              <w:t>　</w:t>
            </w:r>
          </w:p>
        </w:tc>
        <w:tc>
          <w:tcPr>
            <w:tcW w:w="3939" w:type="dxa"/>
            <w:tcBorders>
              <w:top w:val="nil"/>
              <w:left w:val="nil"/>
              <w:bottom w:val="single" w:color="auto" w:sz="4" w:space="0"/>
              <w:right w:val="single" w:color="auto" w:sz="4" w:space="0"/>
            </w:tcBorders>
            <w:vAlign w:val="center"/>
          </w:tcPr>
          <w:p>
            <w:pPr>
              <w:widowControl/>
              <w:tabs>
                <w:tab w:val="left" w:pos="230"/>
                <w:tab w:val="center" w:pos="1034"/>
              </w:tabs>
              <w:spacing w:line="240" w:lineRule="exact"/>
              <w:rPr>
                <w:rFonts w:ascii="宋体" w:hAnsi="宋体" w:eastAsia="宋体" w:cs="宋体"/>
                <w:kern w:val="0"/>
                <w:sz w:val="15"/>
                <w:szCs w:val="15"/>
                <w:lang w:val="en-US" w:eastAsia="zh-CN" w:bidi="ar-SA"/>
              </w:rPr>
            </w:pPr>
            <w:r>
              <w:rPr>
                <w:rFonts w:hint="eastAsia" w:ascii="宋体" w:hAnsi="宋体" w:eastAsia="宋体" w:cs="宋体"/>
                <w:kern w:val="0"/>
                <w:sz w:val="15"/>
                <w:szCs w:val="15"/>
              </w:rPr>
              <w:tab/>
            </w:r>
            <w:r>
              <w:rPr>
                <w:rFonts w:hint="eastAsia" w:ascii="宋体" w:hAnsi="宋体" w:eastAsia="宋体" w:cs="宋体"/>
                <w:kern w:val="0"/>
                <w:sz w:val="15"/>
                <w:szCs w:val="15"/>
              </w:rPr>
              <w:t>完成代表及列席人员、工作人员文件印制发放，桌牌证件笔本等会议用品准备，用餐住宿，会议期间会议室工作</w:t>
            </w:r>
            <w:r>
              <w:rPr>
                <w:rFonts w:hint="eastAsia" w:ascii="宋体" w:hAnsi="宋体" w:eastAsia="宋体" w:cs="宋体"/>
                <w:kern w:val="0"/>
                <w:sz w:val="15"/>
                <w:szCs w:val="15"/>
              </w:rPr>
              <w:tab/>
            </w:r>
            <w:r>
              <w:rPr>
                <w:rFonts w:hint="eastAsia" w:ascii="宋体" w:hAnsi="宋体" w:eastAsia="宋体" w:cs="宋体"/>
                <w:kern w:val="0"/>
                <w:sz w:val="15"/>
                <w:szCs w:val="15"/>
              </w:rPr>
              <w:t>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b/>
                <w:bCs/>
                <w:kern w:val="0"/>
                <w:sz w:val="18"/>
                <w:szCs w:val="18"/>
                <w:lang w:val="en-US" w:eastAsia="zh-CN" w:bidi="ar-SA"/>
              </w:rPr>
            </w:pPr>
            <w:r>
              <w:rPr>
                <w:rFonts w:hint="eastAsia" w:ascii="宋体" w:hAnsi="宋体" w:eastAsia="宋体" w:cs="宋体"/>
                <w:b/>
                <w:bCs/>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3</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天</w:t>
            </w:r>
          </w:p>
        </w:tc>
        <w:tc>
          <w:tcPr>
            <w:tcW w:w="214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质量指标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会议质量　</w:t>
            </w:r>
          </w:p>
        </w:tc>
        <w:tc>
          <w:tcPr>
            <w:tcW w:w="3939" w:type="dxa"/>
            <w:tcBorders>
              <w:top w:val="nil"/>
              <w:left w:val="nil"/>
              <w:bottom w:val="single" w:color="auto" w:sz="4" w:space="0"/>
              <w:right w:val="single" w:color="auto" w:sz="4" w:space="0"/>
            </w:tcBorders>
            <w:vAlign w:val="center"/>
          </w:tcPr>
          <w:p>
            <w:pPr>
              <w:widowControl/>
              <w:spacing w:line="240" w:lineRule="exact"/>
              <w:rPr>
                <w:rFonts w:ascii="宋体" w:hAnsi="宋体" w:eastAsia="宋体" w:cs="宋体"/>
                <w:kern w:val="0"/>
                <w:sz w:val="18"/>
                <w:szCs w:val="18"/>
                <w:lang w:val="en-US" w:eastAsia="zh-CN" w:bidi="ar-SA"/>
              </w:rPr>
            </w:pPr>
            <w:r>
              <w:rPr>
                <w:rFonts w:hint="eastAsia" w:ascii="宋体" w:hAnsi="宋体" w:eastAsia="宋体" w:cs="宋体"/>
                <w:kern w:val="0"/>
                <w:sz w:val="18"/>
                <w:szCs w:val="18"/>
              </w:rPr>
              <w:t>规范会议程序，提高会议质量，提高人大代表职能及审议水平，保证大会顺利完成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圆满完成</w:t>
            </w:r>
          </w:p>
        </w:tc>
        <w:tc>
          <w:tcPr>
            <w:tcW w:w="214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时效指标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完成时间</w:t>
            </w:r>
          </w:p>
        </w:tc>
        <w:tc>
          <w:tcPr>
            <w:tcW w:w="3939" w:type="dxa"/>
            <w:tcBorders>
              <w:top w:val="nil"/>
              <w:left w:val="nil"/>
              <w:bottom w:val="single" w:color="auto" w:sz="4" w:space="0"/>
              <w:right w:val="single" w:color="auto" w:sz="4" w:space="0"/>
            </w:tcBorders>
            <w:vAlign w:val="center"/>
          </w:tcPr>
          <w:p>
            <w:pPr>
              <w:widowControl/>
              <w:spacing w:line="240" w:lineRule="exact"/>
              <w:rPr>
                <w:rFonts w:ascii="宋体" w:hAnsi="宋体" w:eastAsia="宋体" w:cs="宋体"/>
                <w:kern w:val="0"/>
                <w:sz w:val="18"/>
                <w:szCs w:val="18"/>
                <w:lang w:val="en-US" w:eastAsia="zh-CN" w:bidi="ar-SA"/>
              </w:rPr>
            </w:pPr>
            <w:r>
              <w:rPr>
                <w:rFonts w:hint="eastAsia" w:ascii="宋体" w:hAnsi="宋体" w:eastAsia="宋体" w:cs="宋体"/>
                <w:kern w:val="0"/>
                <w:sz w:val="18"/>
                <w:szCs w:val="18"/>
              </w:rPr>
              <w:t>十六届四次人代会于2020年1月上中旬召开，为期3天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1月底前完成</w:t>
            </w:r>
          </w:p>
        </w:tc>
        <w:tc>
          <w:tcPr>
            <w:tcW w:w="214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成本指标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人大会议成本</w:t>
            </w:r>
          </w:p>
        </w:tc>
        <w:tc>
          <w:tcPr>
            <w:tcW w:w="3939" w:type="dxa"/>
            <w:tcBorders>
              <w:top w:val="nil"/>
              <w:left w:val="nil"/>
              <w:bottom w:val="single" w:color="auto" w:sz="4" w:space="0"/>
              <w:right w:val="single" w:color="auto" w:sz="4" w:space="0"/>
            </w:tcBorders>
            <w:vAlign w:val="center"/>
          </w:tcPr>
          <w:p>
            <w:pPr>
              <w:widowControl/>
              <w:spacing w:line="240" w:lineRule="exact"/>
              <w:rPr>
                <w:rFonts w:ascii="宋体" w:hAnsi="宋体" w:eastAsia="宋体" w:cs="宋体"/>
                <w:kern w:val="0"/>
                <w:sz w:val="15"/>
                <w:szCs w:val="15"/>
                <w:lang w:val="en-US" w:eastAsia="zh-CN" w:bidi="ar-SA"/>
              </w:rPr>
            </w:pPr>
            <w:r>
              <w:rPr>
                <w:rFonts w:hint="eastAsia" w:ascii="宋体" w:hAnsi="宋体" w:eastAsia="宋体" w:cs="宋体"/>
                <w:kern w:val="0"/>
                <w:sz w:val="15"/>
                <w:szCs w:val="15"/>
              </w:rPr>
              <w:t>　十六届四次会议前准备6.4万元，会议占堂5.84万元，食宿43.67万元，会议用品、印刷、宣传等15.93万元</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66</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万元</w:t>
            </w:r>
          </w:p>
        </w:tc>
        <w:tc>
          <w:tcPr>
            <w:tcW w:w="214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社会效益指标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人大代表参政议政　</w:t>
            </w:r>
          </w:p>
        </w:tc>
        <w:tc>
          <w:tcPr>
            <w:tcW w:w="3939" w:type="dxa"/>
            <w:tcBorders>
              <w:top w:val="nil"/>
              <w:left w:val="nil"/>
              <w:bottom w:val="single" w:color="auto" w:sz="4" w:space="0"/>
              <w:right w:val="single" w:color="auto" w:sz="4" w:space="0"/>
            </w:tcBorders>
            <w:vAlign w:val="center"/>
          </w:tcPr>
          <w:p>
            <w:pPr>
              <w:widowControl/>
              <w:spacing w:line="240" w:lineRule="exact"/>
              <w:rPr>
                <w:rFonts w:ascii="宋体" w:hAnsi="宋体" w:eastAsia="宋体" w:cs="宋体"/>
                <w:kern w:val="0"/>
                <w:sz w:val="18"/>
                <w:szCs w:val="18"/>
                <w:lang w:val="en-US" w:eastAsia="zh-CN" w:bidi="ar-SA"/>
              </w:rPr>
            </w:pPr>
            <w:r>
              <w:rPr>
                <w:rFonts w:hint="eastAsia" w:ascii="宋体" w:hAnsi="宋体" w:eastAsia="宋体" w:cs="宋体"/>
                <w:kern w:val="0"/>
                <w:sz w:val="18"/>
                <w:szCs w:val="18"/>
              </w:rPr>
              <w:t>通过人大代表提出的议案审查后，解决了部分民生问题</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5</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件</w:t>
            </w:r>
          </w:p>
        </w:tc>
        <w:tc>
          <w:tcPr>
            <w:tcW w:w="214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可持续影响指标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制度及方案健全程度　</w:t>
            </w:r>
          </w:p>
        </w:tc>
        <w:tc>
          <w:tcPr>
            <w:tcW w:w="3939" w:type="dxa"/>
            <w:tcBorders>
              <w:top w:val="nil"/>
              <w:left w:val="nil"/>
              <w:bottom w:val="single" w:color="auto" w:sz="4" w:space="0"/>
              <w:right w:val="single" w:color="auto" w:sz="4" w:space="0"/>
            </w:tcBorders>
            <w:vAlign w:val="center"/>
          </w:tcPr>
          <w:p>
            <w:pPr>
              <w:widowControl/>
              <w:spacing w:line="240" w:lineRule="exact"/>
              <w:rPr>
                <w:rFonts w:ascii="宋体" w:hAnsi="宋体" w:eastAsia="宋体" w:cs="宋体"/>
                <w:kern w:val="0"/>
                <w:sz w:val="18"/>
                <w:szCs w:val="18"/>
                <w:lang w:val="en-US" w:eastAsia="zh-CN" w:bidi="ar-SA"/>
              </w:rPr>
            </w:pPr>
            <w:r>
              <w:rPr>
                <w:rFonts w:hint="eastAsia" w:ascii="宋体" w:hAnsi="宋体" w:eastAsia="宋体" w:cs="宋体"/>
                <w:kern w:val="0"/>
                <w:sz w:val="18"/>
                <w:szCs w:val="18"/>
              </w:rPr>
              <w:t>确保人大工作连续性和完整性</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96" w:type="dxa"/>
            <w:tcBorders>
              <w:top w:val="single" w:color="auto" w:sz="4" w:space="0"/>
              <w:left w:val="single" w:color="auto" w:sz="4" w:space="0"/>
              <w:bottom w:val="single" w:color="auto" w:sz="4" w:space="0"/>
              <w:right w:val="single" w:color="000000" w:sz="4" w:space="0"/>
            </w:tcBorders>
            <w:vAlign w:val="center"/>
          </w:tcPr>
          <w:p>
            <w:pPr>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健全</w:t>
            </w:r>
          </w:p>
        </w:tc>
        <w:tc>
          <w:tcPr>
            <w:tcW w:w="214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91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服务对象满意度指标</w:t>
            </w:r>
          </w:p>
        </w:tc>
        <w:tc>
          <w:tcPr>
            <w:tcW w:w="203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人大代表满意度</w:t>
            </w:r>
          </w:p>
        </w:tc>
        <w:tc>
          <w:tcPr>
            <w:tcW w:w="3939" w:type="dxa"/>
            <w:tcBorders>
              <w:top w:val="single" w:color="auto" w:sz="4" w:space="0"/>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保障人代会圆满顺利闭幕，参会人员满意。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85</w:t>
            </w:r>
          </w:p>
        </w:tc>
        <w:tc>
          <w:tcPr>
            <w:tcW w:w="1296" w:type="dxa"/>
            <w:tcBorders>
              <w:top w:val="single" w:color="auto" w:sz="4" w:space="0"/>
              <w:left w:val="single" w:color="auto" w:sz="4" w:space="0"/>
              <w:bottom w:val="single" w:color="auto" w:sz="4" w:space="0"/>
              <w:right w:val="single" w:color="000000" w:sz="4" w:space="0"/>
            </w:tcBorders>
            <w:vAlign w:val="center"/>
          </w:tcPr>
          <w:p>
            <w:pPr>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rPr>
            </w:pPr>
            <w:r>
              <w:rPr>
                <w:rFonts w:hint="eastAsia" w:ascii="宋体" w:hAnsi="宋体" w:eastAsia="宋体" w:cs="宋体"/>
                <w:kern w:val="0"/>
                <w:sz w:val="18"/>
                <w:szCs w:val="18"/>
              </w:rPr>
              <w:t>问卷调查　</w:t>
            </w:r>
          </w:p>
          <w:p>
            <w:pPr>
              <w:widowControl/>
              <w:spacing w:line="200" w:lineRule="exact"/>
              <w:jc w:val="center"/>
              <w:rPr>
                <w:rFonts w:hint="eastAsia" w:ascii="宋体" w:hAnsi="宋体" w:eastAsia="宋体" w:cs="宋体"/>
                <w:kern w:val="0"/>
                <w:sz w:val="18"/>
                <w:szCs w:val="18"/>
                <w:lang w:val="en-US" w:eastAsia="zh-CN" w:bidi="ar-SA"/>
              </w:rPr>
            </w:pPr>
          </w:p>
        </w:tc>
      </w:tr>
      <w:tr>
        <w:tblPrEx>
          <w:tblCellMar>
            <w:top w:w="0" w:type="dxa"/>
            <w:left w:w="108" w:type="dxa"/>
            <w:bottom w:w="0" w:type="dxa"/>
            <w:right w:w="108" w:type="dxa"/>
          </w:tblCellMar>
        </w:tblPrEx>
        <w:trPr>
          <w:trHeight w:val="609" w:hRule="atLeast"/>
        </w:trPr>
        <w:tc>
          <w:tcPr>
            <w:tcW w:w="14743" w:type="dxa"/>
            <w:gridSpan w:val="8"/>
            <w:tcBorders>
              <w:top w:val="nil"/>
              <w:left w:val="nil"/>
              <w:bottom w:val="single" w:color="auto" w:sz="4" w:space="0"/>
              <w:right w:val="nil"/>
            </w:tcBorders>
            <w:vAlign w:val="center"/>
          </w:tcPr>
          <w:p>
            <w:pPr>
              <w:widowControl/>
              <w:rPr>
                <w:rFonts w:ascii="宋体" w:hAnsi="宋体" w:eastAsia="宋体" w:cs="宋体"/>
                <w:color w:val="000000"/>
                <w:kern w:val="0"/>
                <w:sz w:val="22"/>
              </w:rPr>
            </w:pPr>
            <w:r>
              <w:rPr>
                <w:rFonts w:ascii="宋体" w:hAnsi="宋体" w:eastAsia="宋体" w:cs="宋体"/>
                <w:b/>
                <w:bCs/>
                <w:color w:val="000000"/>
                <w:kern w:val="0"/>
                <w:sz w:val="32"/>
                <w:szCs w:val="32"/>
              </w:rPr>
              <w:t>2.</w:t>
            </w:r>
            <w:r>
              <w:rPr>
                <w:rFonts w:hint="eastAsia" w:ascii="宋体" w:hAnsi="宋体" w:eastAsia="宋体" w:cs="宋体"/>
                <w:b/>
                <w:bCs/>
                <w:color w:val="000000"/>
                <w:kern w:val="0"/>
                <w:sz w:val="32"/>
                <w:szCs w:val="32"/>
              </w:rPr>
              <w:t>县人大常委会会议费预算项目绩效目标表</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5198"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县人大常委会会议费</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常委会会议费，县人民代表大会常务委会每年都要召开至少四次常委会议，基本每季度要召开一次，会前准备、发布公告，会议的筹备及文件起草、印刷文件，各种证件准备，笔记本，笔、纸等会议用品，会议期间开会占堂及宣传开支。</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393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25%　</w:t>
            </w:r>
          </w:p>
        </w:tc>
        <w:tc>
          <w:tcPr>
            <w:tcW w:w="3939"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50%　</w:t>
            </w:r>
          </w:p>
        </w:tc>
        <w:tc>
          <w:tcPr>
            <w:tcW w:w="3055" w:type="dxa"/>
            <w:gridSpan w:val="3"/>
            <w:tcBorders>
              <w:top w:val="single" w:color="auto" w:sz="4" w:space="0"/>
              <w:left w:val="nil"/>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75%　</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170" w:type="dxa"/>
            <w:gridSpan w:val="6"/>
            <w:tcBorders>
              <w:top w:val="single" w:color="auto" w:sz="4" w:space="0"/>
              <w:left w:val="nil"/>
              <w:bottom w:val="single" w:color="auto" w:sz="4" w:space="0"/>
              <w:right w:val="single" w:color="000000" w:sz="4" w:space="0"/>
            </w:tcBorders>
            <w:vAlign w:val="center"/>
          </w:tcPr>
          <w:p>
            <w:pPr>
              <w:widowControl/>
              <w:spacing w:line="280" w:lineRule="exact"/>
              <w:jc w:val="left"/>
              <w:rPr>
                <w:rFonts w:ascii="宋体" w:hAnsi="宋体" w:eastAsia="宋体" w:cs="宋体"/>
                <w:kern w:val="0"/>
                <w:sz w:val="18"/>
                <w:szCs w:val="18"/>
              </w:rPr>
            </w:pPr>
            <w:r>
              <w:rPr>
                <w:rFonts w:hint="eastAsia" w:ascii="宋体" w:hAnsi="宋体" w:eastAsia="宋体" w:cs="宋体"/>
                <w:kern w:val="0"/>
                <w:sz w:val="18"/>
                <w:szCs w:val="18"/>
              </w:rPr>
              <w:t>按照县委、县人大工作要求，依法选举补选代表，常委会人事任免，研究、审议和拟定有关议案。</w:t>
            </w:r>
          </w:p>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对县政府组成人员和县级人民法院、检察院主要负责人进行目标责任监督、述职报告。通过会议的召开，解决了部分民生问题，推动了县域经济更好更快的发展。　</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91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03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393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055"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1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03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3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481"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1278"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29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1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913" w:type="dxa"/>
            <w:tcBorders>
              <w:top w:val="nil"/>
              <w:left w:val="single" w:color="auto" w:sz="4" w:space="0"/>
              <w:bottom w:val="single" w:color="000000"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数量指标</w:t>
            </w:r>
          </w:p>
        </w:tc>
        <w:tc>
          <w:tcPr>
            <w:tcW w:w="203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召开会议次数</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完成常委会委员及乡镇人大主席的文件印制发放，桌牌证件笔本等会议用品准备，会议期间会议室工作　</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b/>
                <w:bCs/>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b/>
                <w:bCs/>
                <w:kern w:val="0"/>
                <w:sz w:val="18"/>
                <w:szCs w:val="18"/>
                <w:lang w:val="en-US" w:eastAsia="zh-CN" w:bidi="ar-SA"/>
              </w:rPr>
            </w:pPr>
            <w:r>
              <w:rPr>
                <w:rFonts w:hint="eastAsia" w:ascii="宋体" w:hAnsi="宋体" w:eastAsia="宋体" w:cs="宋体"/>
                <w:b/>
                <w:bCs/>
                <w:kern w:val="0"/>
                <w:sz w:val="18"/>
                <w:szCs w:val="18"/>
              </w:rPr>
              <w:t>4</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b/>
                <w:bCs/>
                <w:kern w:val="0"/>
                <w:sz w:val="18"/>
                <w:szCs w:val="18"/>
                <w:lang w:val="en-US" w:eastAsia="zh-CN" w:bidi="ar-SA"/>
              </w:rPr>
            </w:pPr>
            <w:r>
              <w:rPr>
                <w:rFonts w:hint="eastAsia" w:ascii="宋体" w:hAnsi="宋体" w:eastAsia="宋体" w:cs="宋体"/>
                <w:b/>
                <w:bCs/>
                <w:kern w:val="0"/>
                <w:sz w:val="18"/>
                <w:szCs w:val="18"/>
              </w:rPr>
              <w:t>次</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710"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质量指标</w:t>
            </w:r>
          </w:p>
        </w:tc>
        <w:tc>
          <w:tcPr>
            <w:tcW w:w="203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会议质量</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规范会议程序，提高会议质量，提高委员职能及审议水平，保证会议顺利完成</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圆满完成</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时效指标</w:t>
            </w:r>
          </w:p>
        </w:tc>
        <w:tc>
          <w:tcPr>
            <w:tcW w:w="2033"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2020年完成时间</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2020年每季度至少召开一次</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4</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次</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成本指标</w:t>
            </w:r>
          </w:p>
        </w:tc>
        <w:tc>
          <w:tcPr>
            <w:tcW w:w="2033"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常委会会议成本</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常委会议会会议占堂2.4万元，会议用品、印刷、宣传等2.6万元　</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5</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万元</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社会效益指标</w:t>
            </w:r>
          </w:p>
        </w:tc>
        <w:tc>
          <w:tcPr>
            <w:tcW w:w="2033"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　委员参政议政</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通过委员提出的议案审查后，解决了部分民生问题</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5</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件</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可持续影响指标</w:t>
            </w:r>
          </w:p>
        </w:tc>
        <w:tc>
          <w:tcPr>
            <w:tcW w:w="2033"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制度及方案健全程度</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确保人大工作连续性和完整性</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健全</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913"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服务对象满意度指标</w:t>
            </w:r>
          </w:p>
        </w:tc>
        <w:tc>
          <w:tcPr>
            <w:tcW w:w="203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参会人员满意度</w:t>
            </w:r>
          </w:p>
        </w:tc>
        <w:tc>
          <w:tcPr>
            <w:tcW w:w="393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保障常委会圆满顺利完成，参会人员满意。　</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85</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问卷调查　</w:t>
            </w:r>
          </w:p>
        </w:tc>
      </w:tr>
      <w:tr>
        <w:tblPrEx>
          <w:tblCellMar>
            <w:top w:w="0" w:type="dxa"/>
            <w:left w:w="108" w:type="dxa"/>
            <w:bottom w:w="0" w:type="dxa"/>
            <w:right w:w="108" w:type="dxa"/>
          </w:tblCellMar>
        </w:tblPrEx>
        <w:trPr>
          <w:trHeight w:val="609" w:hRule="atLeast"/>
        </w:trPr>
        <w:tc>
          <w:tcPr>
            <w:tcW w:w="14743" w:type="dxa"/>
            <w:gridSpan w:val="8"/>
            <w:tcBorders>
              <w:top w:val="nil"/>
              <w:left w:val="nil"/>
              <w:bottom w:val="single" w:color="auto" w:sz="4" w:space="0"/>
              <w:right w:val="nil"/>
            </w:tcBorders>
            <w:vAlign w:val="center"/>
          </w:tcPr>
          <w:p>
            <w:pPr>
              <w:widowControl/>
              <w:rPr>
                <w:rFonts w:ascii="宋体" w:hAnsi="宋体" w:eastAsia="宋体" w:cs="宋体"/>
                <w:color w:val="000000"/>
                <w:kern w:val="0"/>
                <w:sz w:val="22"/>
              </w:rPr>
            </w:pPr>
            <w:r>
              <w:rPr>
                <w:rFonts w:hint="eastAsia" w:ascii="宋体" w:hAnsi="宋体" w:eastAsia="宋体" w:cs="宋体"/>
                <w:b/>
                <w:bCs/>
                <w:color w:val="000000"/>
                <w:kern w:val="0"/>
                <w:sz w:val="32"/>
                <w:szCs w:val="32"/>
              </w:rPr>
              <w:t>3</w:t>
            </w:r>
            <w:r>
              <w:rPr>
                <w:rFonts w:ascii="宋体" w:hAnsi="宋体" w:eastAsia="宋体" w:cs="宋体"/>
                <w:b/>
                <w:bCs/>
                <w:color w:val="000000"/>
                <w:kern w:val="0"/>
                <w:sz w:val="32"/>
                <w:szCs w:val="32"/>
              </w:rPr>
              <w:t>.</w:t>
            </w:r>
            <w:r>
              <w:rPr>
                <w:rFonts w:hint="eastAsia" w:ascii="宋体" w:hAnsi="宋体" w:eastAsia="宋体" w:cs="宋体"/>
                <w:b/>
                <w:bCs/>
                <w:color w:val="000000"/>
                <w:kern w:val="0"/>
                <w:sz w:val="32"/>
                <w:szCs w:val="32"/>
              </w:rPr>
              <w:t>县人大代表活动经费预算项目绩效目标表</w:t>
            </w:r>
          </w:p>
        </w:tc>
      </w:tr>
      <w:tr>
        <w:tblPrEx>
          <w:tblCellMar>
            <w:top w:w="0" w:type="dxa"/>
            <w:left w:w="108" w:type="dxa"/>
            <w:bottom w:w="0" w:type="dxa"/>
            <w:right w:w="108" w:type="dxa"/>
          </w:tblCellMar>
        </w:tblPrEx>
        <w:trPr>
          <w:trHeight w:val="388"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5198"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县人大代表活动经费</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人大代表活动经费，根据《宪法》组织代表对法律实施情况进行检查，组织县人大常委及县人大代表进行执法检查和集中视察，开展代表建议督办，开展这些活动，需要文件印刷，各种证件准备，笔记本，笔、纸等办公用品，宣传及车辆开支的经费15万元，组织对常委及代表培训每年一至2次，培训经费25万元。　</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393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25%　</w:t>
            </w:r>
          </w:p>
        </w:tc>
        <w:tc>
          <w:tcPr>
            <w:tcW w:w="3939"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50%</w:t>
            </w:r>
          </w:p>
        </w:tc>
        <w:tc>
          <w:tcPr>
            <w:tcW w:w="3055" w:type="dxa"/>
            <w:gridSpan w:val="3"/>
            <w:tcBorders>
              <w:top w:val="single" w:color="auto" w:sz="4" w:space="0"/>
              <w:left w:val="nil"/>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75%　</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170" w:type="dxa"/>
            <w:gridSpan w:val="6"/>
            <w:tcBorders>
              <w:top w:val="single" w:color="auto" w:sz="4" w:space="0"/>
              <w:left w:val="nil"/>
              <w:bottom w:val="single" w:color="auto" w:sz="4" w:space="0"/>
              <w:right w:val="single" w:color="000000" w:sz="4" w:space="0"/>
            </w:tcBorders>
            <w:vAlign w:val="center"/>
          </w:tcPr>
          <w:p>
            <w:pPr>
              <w:widowControl/>
              <w:spacing w:line="200" w:lineRule="exact"/>
              <w:jc w:val="both"/>
              <w:rPr>
                <w:rFonts w:ascii="宋体" w:hAnsi="宋体" w:eastAsia="宋体" w:cs="宋体"/>
                <w:kern w:val="0"/>
                <w:sz w:val="18"/>
                <w:szCs w:val="18"/>
                <w:lang w:val="en-US" w:eastAsia="zh-CN" w:bidi="ar-SA"/>
              </w:rPr>
            </w:pPr>
            <w:r>
              <w:rPr>
                <w:rFonts w:hint="eastAsia" w:ascii="宋体" w:hAnsi="宋体" w:eastAsia="宋体" w:cs="宋体"/>
                <w:kern w:val="0"/>
                <w:sz w:val="18"/>
                <w:szCs w:val="18"/>
              </w:rPr>
              <w:t>监督宪法和法律在我县县行政区域内正确实施，监督一府两院依法开展工作，监督县本级预算按照县代会通过的预算有效实施，监督经济和社会发展计划有效实施，进行视察调研，确保代表们提高履职水平，推进县域经济更好更快发展。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2</w:t>
            </w:r>
          </w:p>
        </w:tc>
        <w:tc>
          <w:tcPr>
            <w:tcW w:w="11170" w:type="dxa"/>
            <w:gridSpan w:val="6"/>
            <w:tcBorders>
              <w:top w:val="single" w:color="auto" w:sz="4" w:space="0"/>
              <w:left w:val="nil"/>
              <w:bottom w:val="single" w:color="auto" w:sz="4" w:space="0"/>
              <w:right w:val="single" w:color="000000" w:sz="4" w:space="0"/>
            </w:tcBorders>
            <w:vAlign w:val="center"/>
          </w:tcPr>
          <w:p>
            <w:pPr>
              <w:widowControl/>
              <w:spacing w:line="200" w:lineRule="exact"/>
              <w:jc w:val="both"/>
              <w:rPr>
                <w:rFonts w:ascii="宋体" w:hAnsi="宋体" w:eastAsia="宋体" w:cs="宋体"/>
                <w:kern w:val="0"/>
                <w:sz w:val="18"/>
                <w:szCs w:val="18"/>
                <w:lang w:val="en-US" w:eastAsia="zh-CN" w:bidi="ar-SA"/>
              </w:rPr>
            </w:pPr>
            <w:r>
              <w:rPr>
                <w:rFonts w:hint="eastAsia" w:ascii="宋体" w:hAnsi="宋体" w:eastAsia="宋体" w:cs="宋体"/>
                <w:kern w:val="0"/>
                <w:sz w:val="18"/>
                <w:szCs w:val="18"/>
              </w:rPr>
              <w:t>对常委委员及代表进行履职培训，以提高代表政治思想素质，增强履职能力为目标，大力推进人大工作。</w:t>
            </w:r>
          </w:p>
        </w:tc>
      </w:tr>
      <w:tr>
        <w:tblPrEx>
          <w:tblCellMar>
            <w:top w:w="0" w:type="dxa"/>
            <w:left w:w="108" w:type="dxa"/>
            <w:bottom w:w="0" w:type="dxa"/>
            <w:right w:w="108" w:type="dxa"/>
          </w:tblCellMar>
        </w:tblPrEx>
        <w:trPr>
          <w:trHeight w:val="372"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91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03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393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055"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1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542"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03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3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481"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1278"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29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1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913" w:type="dxa"/>
            <w:vMerge w:val="restart"/>
            <w:tcBorders>
              <w:top w:val="nil"/>
              <w:left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数量指标</w:t>
            </w:r>
          </w:p>
          <w:p>
            <w:pPr>
              <w:widowControl/>
              <w:jc w:val="center"/>
              <w:rPr>
                <w:rFonts w:ascii="宋体" w:hAnsi="宋体" w:eastAsia="宋体" w:cs="宋体"/>
                <w:kern w:val="0"/>
                <w:sz w:val="18"/>
                <w:szCs w:val="18"/>
              </w:rPr>
            </w:pP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视察调研次数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根据人大常委会工作要点安排，组织人大代表对政法、水务、农业、科技、财政、环境等六个方面进行视察及执法检查；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4</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次</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培训次数</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提高人大代表职能及政治思想素养，组织1-2次人大代表及相关人员进行培训。</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2</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次</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restart"/>
            <w:tcBorders>
              <w:top w:val="nil"/>
              <w:left w:val="nil"/>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质量指标</w:t>
            </w:r>
          </w:p>
          <w:p>
            <w:pPr>
              <w:widowControl/>
              <w:jc w:val="center"/>
              <w:rPr>
                <w:rFonts w:ascii="宋体" w:hAnsi="宋体" w:eastAsia="宋体" w:cs="宋体"/>
                <w:kern w:val="0"/>
                <w:sz w:val="18"/>
                <w:szCs w:val="18"/>
              </w:rPr>
            </w:pP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视察调研质量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组织人大代表对政法、水务、农业、科技、财政、环境等六个方面进行视察及执法检查，致力解决民生问题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圆满完成</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培训质量</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提高人大代表职能及政治思想素养，履职能力。</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圆满完成</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时效指标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完成及时性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2020年度年底完成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按工作计划完成</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成本指标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人大代表活动经费成本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人大代表193名，安排人大代表进行实地视察调研及执法检查交通费2万元，办公费4.25万元，印刷费3万元，会议费5.75万元，实地外出培训25万元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40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万元</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社会效益指标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民生问题个数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视察、培训提高了代表参政议政的能力，民生问题得到更好的解决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5</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件</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可持续影响指标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制度及方案健全程度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确保人大工作连续性和完整性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健全</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91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服务对象满意度指标</w:t>
            </w:r>
          </w:p>
        </w:tc>
        <w:tc>
          <w:tcPr>
            <w:tcW w:w="203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广大代表满意度　</w:t>
            </w:r>
          </w:p>
        </w:tc>
        <w:tc>
          <w:tcPr>
            <w:tcW w:w="3939" w:type="dxa"/>
            <w:tcBorders>
              <w:top w:val="single" w:color="auto" w:sz="4" w:space="0"/>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做到广大代表满意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90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问卷调查　</w:t>
            </w:r>
          </w:p>
        </w:tc>
      </w:tr>
      <w:tr>
        <w:tblPrEx>
          <w:tblCellMar>
            <w:top w:w="0" w:type="dxa"/>
            <w:left w:w="108" w:type="dxa"/>
            <w:bottom w:w="0" w:type="dxa"/>
            <w:right w:w="108" w:type="dxa"/>
          </w:tblCellMar>
        </w:tblPrEx>
        <w:trPr>
          <w:trHeight w:val="609" w:hRule="atLeast"/>
        </w:trPr>
        <w:tc>
          <w:tcPr>
            <w:tcW w:w="14743" w:type="dxa"/>
            <w:gridSpan w:val="8"/>
            <w:tcBorders>
              <w:top w:val="nil"/>
              <w:left w:val="nil"/>
              <w:bottom w:val="single" w:color="auto" w:sz="4" w:space="0"/>
              <w:right w:val="nil"/>
            </w:tcBorders>
            <w:vAlign w:val="center"/>
          </w:tcPr>
          <w:p>
            <w:pPr>
              <w:widowControl/>
              <w:rPr>
                <w:rFonts w:ascii="宋体" w:hAnsi="宋体" w:eastAsia="宋体" w:cs="宋体"/>
                <w:color w:val="000000"/>
                <w:kern w:val="0"/>
                <w:sz w:val="22"/>
              </w:rPr>
            </w:pPr>
            <w:r>
              <w:rPr>
                <w:rFonts w:hint="eastAsia" w:ascii="宋体" w:hAnsi="宋体" w:eastAsia="宋体" w:cs="宋体"/>
                <w:b/>
                <w:bCs/>
                <w:color w:val="000000"/>
                <w:kern w:val="0"/>
                <w:sz w:val="32"/>
                <w:szCs w:val="32"/>
              </w:rPr>
              <w:t>4</w:t>
            </w:r>
            <w:r>
              <w:rPr>
                <w:rFonts w:ascii="宋体" w:hAnsi="宋体" w:eastAsia="宋体" w:cs="宋体"/>
                <w:b/>
                <w:bCs/>
                <w:color w:val="000000"/>
                <w:kern w:val="0"/>
                <w:sz w:val="32"/>
                <w:szCs w:val="32"/>
              </w:rPr>
              <w:t>.</w:t>
            </w:r>
            <w:r>
              <w:rPr>
                <w:rFonts w:hint="eastAsia" w:ascii="宋体" w:hAnsi="宋体" w:eastAsia="宋体" w:cs="宋体"/>
                <w:b/>
                <w:bCs/>
                <w:color w:val="000000"/>
                <w:kern w:val="0"/>
                <w:sz w:val="32"/>
                <w:szCs w:val="32"/>
              </w:rPr>
              <w:t>县人大机关修缮费预算项目绩效目标表</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5198"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县人大机关修缮费　</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修缮费18万元，我单位地处低洼地带，雨季水淹严重，需要维修地面150m²、墙体粉刷4012m²，外墙保温195m²，门窗15套、下水道排污2000元.时间2020年4月，结束时间2020年12月。</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393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0　</w:t>
            </w:r>
          </w:p>
        </w:tc>
        <w:tc>
          <w:tcPr>
            <w:tcW w:w="3939"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50%</w:t>
            </w:r>
          </w:p>
        </w:tc>
        <w:tc>
          <w:tcPr>
            <w:tcW w:w="3055" w:type="dxa"/>
            <w:gridSpan w:val="3"/>
            <w:tcBorders>
              <w:top w:val="single" w:color="auto" w:sz="4" w:space="0"/>
              <w:left w:val="nil"/>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75%　</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170" w:type="dxa"/>
            <w:gridSpan w:val="6"/>
            <w:tcBorders>
              <w:top w:val="single" w:color="auto" w:sz="4" w:space="0"/>
              <w:left w:val="nil"/>
              <w:bottom w:val="single" w:color="auto" w:sz="4" w:space="0"/>
              <w:right w:val="single" w:color="000000"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顺利完成人大机关对地面、墙体、门窗等修缮工作，确保人大机关办公房屋正常使用，运转良好。                                                                                                     　</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91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03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393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055"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1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03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3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481"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1278"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29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1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618"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913" w:type="dxa"/>
            <w:tcBorders>
              <w:top w:val="nil"/>
              <w:left w:val="single" w:color="auto" w:sz="4" w:space="0"/>
              <w:bottom w:val="single" w:color="000000"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数量指标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b/>
                <w:bCs/>
                <w:kern w:val="0"/>
                <w:sz w:val="18"/>
                <w:szCs w:val="18"/>
                <w:lang w:val="en-US" w:eastAsia="zh-CN" w:bidi="ar-SA"/>
              </w:rPr>
            </w:pPr>
            <w:r>
              <w:rPr>
                <w:rFonts w:hint="eastAsia" w:ascii="宋体" w:hAnsi="宋体" w:eastAsia="宋体" w:cs="宋体"/>
                <w:kern w:val="0"/>
                <w:sz w:val="18"/>
                <w:szCs w:val="18"/>
              </w:rPr>
              <w:t>5栋楼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维修地面210m²、墙体粉刷4712m²，外墙保温316m²，门窗36套、下水道排污2000元。</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b/>
                <w:bCs/>
                <w:kern w:val="0"/>
                <w:sz w:val="18"/>
                <w:szCs w:val="18"/>
                <w:lang w:val="en-US" w:eastAsia="zh-CN" w:bidi="ar-SA"/>
              </w:rPr>
            </w:pPr>
            <w:r>
              <w:rPr>
                <w:rFonts w:hint="eastAsia" w:ascii="宋体" w:hAnsi="宋体" w:eastAsia="宋体" w:cs="宋体"/>
                <w:b/>
                <w:bCs/>
                <w:kern w:val="0"/>
                <w:sz w:val="18"/>
                <w:szCs w:val="18"/>
              </w:rPr>
              <w:t>1</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b/>
                <w:bCs/>
                <w:kern w:val="0"/>
                <w:sz w:val="18"/>
                <w:szCs w:val="18"/>
                <w:lang w:val="en-US" w:eastAsia="zh-CN" w:bidi="ar-SA"/>
              </w:rPr>
            </w:pPr>
            <w:r>
              <w:rPr>
                <w:rFonts w:hint="eastAsia" w:ascii="宋体" w:hAnsi="宋体" w:eastAsia="宋体" w:cs="宋体"/>
                <w:b/>
                <w:bCs/>
                <w:kern w:val="0"/>
                <w:sz w:val="18"/>
                <w:szCs w:val="18"/>
              </w:rPr>
              <w:t>项</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632"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质量指标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机关修缮完成率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保持保量完成人大机关对地面、墙体、门窗等修缮工作。确保人大机关办公房屋正常使用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时效指标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修缮完成时间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2020年第四季度完成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按修缮时限完成</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1150"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成本指标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修缮成本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地面150m²，单价160元，计2.4万元；墙体粉刷4012m²，单价30元，计12万元；外墙保温195m²，单价98元，计1.9万元，门窗15套，单价1030元，计1.5万元，下水道排污2000元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18</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万元</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686"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社会效益指标</w:t>
            </w:r>
          </w:p>
        </w:tc>
        <w:tc>
          <w:tcPr>
            <w:tcW w:w="2033"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保证机关办公正常运转，良好的工作环境提高工作效率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保证机关办公正常运转，良好的工作环境提高工作效率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较往年提高</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741"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可持续影响指标</w:t>
            </w:r>
          </w:p>
        </w:tc>
        <w:tc>
          <w:tcPr>
            <w:tcW w:w="203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制度及方案健全程度　　</w:t>
            </w:r>
          </w:p>
        </w:tc>
        <w:tc>
          <w:tcPr>
            <w:tcW w:w="3939" w:type="dxa"/>
            <w:tcBorders>
              <w:top w:val="nil"/>
              <w:left w:val="nil"/>
              <w:bottom w:val="single" w:color="auto" w:sz="4" w:space="0"/>
              <w:right w:val="single" w:color="auto" w:sz="4" w:space="0"/>
            </w:tcBorders>
            <w:vAlign w:val="center"/>
          </w:tcPr>
          <w:p>
            <w:pPr>
              <w:widowControl/>
              <w:spacing w:line="20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办公设施使用一定周期内持续使用，确保人大机关运转良好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健全</w:t>
            </w:r>
          </w:p>
        </w:tc>
        <w:tc>
          <w:tcPr>
            <w:tcW w:w="2143" w:type="dxa"/>
            <w:tcBorders>
              <w:top w:val="nil"/>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91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服务对象满意度指标</w:t>
            </w:r>
          </w:p>
        </w:tc>
        <w:tc>
          <w:tcPr>
            <w:tcW w:w="203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人大机关工作人员满意度　</w:t>
            </w:r>
          </w:p>
        </w:tc>
        <w:tc>
          <w:tcPr>
            <w:tcW w:w="3939"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保障人大机关正常运转，工作人员满意　</w:t>
            </w:r>
          </w:p>
        </w:tc>
        <w:tc>
          <w:tcPr>
            <w:tcW w:w="481"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single" w:color="auto" w:sz="4" w:space="0"/>
              <w:left w:val="nil"/>
              <w:bottom w:val="single" w:color="auto" w:sz="4" w:space="0"/>
              <w:right w:val="single" w:color="auto" w:sz="4" w:space="0"/>
            </w:tcBorders>
            <w:vAlign w:val="center"/>
          </w:tcPr>
          <w:p>
            <w:pPr>
              <w:widowControl/>
              <w:spacing w:line="20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问卷调查　</w:t>
            </w:r>
          </w:p>
        </w:tc>
      </w:tr>
      <w:tr>
        <w:tblPrEx>
          <w:tblCellMar>
            <w:top w:w="0" w:type="dxa"/>
            <w:left w:w="108" w:type="dxa"/>
            <w:bottom w:w="0" w:type="dxa"/>
            <w:right w:w="108" w:type="dxa"/>
          </w:tblCellMar>
        </w:tblPrEx>
        <w:trPr>
          <w:trHeight w:val="609" w:hRule="atLeast"/>
        </w:trPr>
        <w:tc>
          <w:tcPr>
            <w:tcW w:w="14743" w:type="dxa"/>
            <w:gridSpan w:val="8"/>
            <w:tcBorders>
              <w:top w:val="nil"/>
              <w:left w:val="nil"/>
              <w:bottom w:val="single" w:color="auto" w:sz="4" w:space="0"/>
              <w:right w:val="nil"/>
            </w:tcBorders>
            <w:vAlign w:val="center"/>
          </w:tcPr>
          <w:p>
            <w:pPr>
              <w:rPr>
                <w:rFonts w:ascii="宋体" w:hAnsi="宋体" w:eastAsia="宋体" w:cs="宋体"/>
                <w:color w:val="000000"/>
                <w:kern w:val="0"/>
                <w:sz w:val="22"/>
              </w:rPr>
            </w:pPr>
            <w:r>
              <w:rPr>
                <w:rFonts w:ascii="宋体" w:hAnsi="宋体" w:eastAsia="宋体"/>
                <w:b/>
                <w:bCs/>
                <w:sz w:val="32"/>
                <w:szCs w:val="32"/>
              </w:rPr>
              <w:t>5.县人大机关运行经费预算项目绩效目标表</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5198"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县人大机关运行经费　</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spacing w:line="24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机关运行经费，主要用于省市人大征订《公民与法治》、《中国人大》等杂志报刊费用4万元，用于支付人大2020年电费费用14万元。项目开始时间2020年1月，结束时间2020年12月。　</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393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25%　</w:t>
            </w:r>
          </w:p>
        </w:tc>
        <w:tc>
          <w:tcPr>
            <w:tcW w:w="3939"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50%　</w:t>
            </w:r>
          </w:p>
        </w:tc>
        <w:tc>
          <w:tcPr>
            <w:tcW w:w="3055" w:type="dxa"/>
            <w:gridSpan w:val="3"/>
            <w:tcBorders>
              <w:top w:val="single" w:color="auto" w:sz="4" w:space="0"/>
              <w:left w:val="nil"/>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75%</w:t>
            </w:r>
          </w:p>
        </w:tc>
        <w:tc>
          <w:tcPr>
            <w:tcW w:w="214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170" w:type="dxa"/>
            <w:gridSpan w:val="6"/>
            <w:tcBorders>
              <w:top w:val="single" w:color="auto" w:sz="4" w:space="0"/>
              <w:left w:val="nil"/>
              <w:bottom w:val="single" w:color="auto" w:sz="4" w:space="0"/>
              <w:right w:val="single" w:color="000000" w:sz="4" w:space="0"/>
            </w:tcBorders>
            <w:vAlign w:val="center"/>
          </w:tcPr>
          <w:p>
            <w:pPr>
              <w:widowControl/>
              <w:spacing w:line="24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完成省、市人大杂志报刊征订任务，确保人大机关日常工作有序进行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2</w:t>
            </w:r>
          </w:p>
        </w:tc>
        <w:tc>
          <w:tcPr>
            <w:tcW w:w="11170" w:type="dxa"/>
            <w:gridSpan w:val="6"/>
            <w:tcBorders>
              <w:top w:val="single" w:color="auto" w:sz="4" w:space="0"/>
              <w:left w:val="nil"/>
              <w:bottom w:val="single" w:color="auto" w:sz="4" w:space="0"/>
              <w:right w:val="single" w:color="000000" w:sz="4" w:space="0"/>
            </w:tcBorders>
            <w:vAlign w:val="center"/>
          </w:tcPr>
          <w:p>
            <w:pPr>
              <w:widowControl/>
              <w:spacing w:line="24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及时缴纳电费，保证机关正常用电，确保机关运转良好。　</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91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03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393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055"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1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03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3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481"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1278"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29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1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913" w:type="dxa"/>
            <w:vMerge w:val="restart"/>
            <w:tcBorders>
              <w:top w:val="nil"/>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数量指标</w:t>
            </w:r>
          </w:p>
          <w:p>
            <w:pPr>
              <w:widowControl/>
              <w:jc w:val="center"/>
              <w:rPr>
                <w:rFonts w:ascii="宋体" w:hAnsi="宋体" w:eastAsia="宋体" w:cs="宋体"/>
                <w:kern w:val="0"/>
                <w:sz w:val="18"/>
                <w:szCs w:val="18"/>
              </w:rPr>
            </w:pP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报刊征订数　</w:t>
            </w:r>
          </w:p>
        </w:tc>
        <w:tc>
          <w:tcPr>
            <w:tcW w:w="3939"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省市人大征订《公民与法治》等杂志报刊286份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b/>
                <w:bCs/>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286</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份</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机关用电面积　</w:t>
            </w:r>
          </w:p>
        </w:tc>
        <w:tc>
          <w:tcPr>
            <w:tcW w:w="3939"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电费面积1732平方米</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1732</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平方米</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restart"/>
            <w:tcBorders>
              <w:top w:val="nil"/>
              <w:left w:val="nil"/>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质量指标</w:t>
            </w:r>
          </w:p>
          <w:p>
            <w:pPr>
              <w:widowControl/>
              <w:jc w:val="center"/>
              <w:rPr>
                <w:rFonts w:ascii="宋体" w:hAnsi="宋体" w:eastAsia="宋体" w:cs="宋体"/>
                <w:kern w:val="0"/>
                <w:sz w:val="18"/>
                <w:szCs w:val="18"/>
              </w:rPr>
            </w:pP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报刊征订质量　</w:t>
            </w:r>
          </w:p>
        </w:tc>
        <w:tc>
          <w:tcPr>
            <w:tcW w:w="3939" w:type="dxa"/>
            <w:tcBorders>
              <w:top w:val="nil"/>
              <w:left w:val="nil"/>
              <w:bottom w:val="single" w:color="auto" w:sz="4" w:space="0"/>
              <w:right w:val="single" w:color="auto" w:sz="4" w:space="0"/>
            </w:tcBorders>
            <w:vAlign w:val="center"/>
          </w:tcPr>
          <w:p>
            <w:pPr>
              <w:widowControl/>
              <w:spacing w:line="240" w:lineRule="exact"/>
              <w:rPr>
                <w:rFonts w:ascii="宋体" w:hAnsi="宋体" w:eastAsia="宋体" w:cs="宋体"/>
                <w:kern w:val="0"/>
                <w:sz w:val="18"/>
                <w:szCs w:val="18"/>
                <w:lang w:val="en-US" w:eastAsia="zh-CN" w:bidi="ar-SA"/>
              </w:rPr>
            </w:pPr>
            <w:r>
              <w:rPr>
                <w:rFonts w:hint="eastAsia" w:ascii="宋体" w:hAnsi="宋体" w:eastAsia="宋体" w:cs="宋体"/>
                <w:kern w:val="0"/>
                <w:sz w:val="18"/>
                <w:szCs w:val="18"/>
              </w:rPr>
              <w:t>保证完成省市征订任务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机关用电量</w:t>
            </w:r>
          </w:p>
        </w:tc>
        <w:tc>
          <w:tcPr>
            <w:tcW w:w="3939"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及时缴纳电费，保证机关正常用电，确保机关运转良好</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时效指标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完成时间　</w:t>
            </w:r>
          </w:p>
        </w:tc>
        <w:tc>
          <w:tcPr>
            <w:tcW w:w="3939" w:type="dxa"/>
            <w:tcBorders>
              <w:top w:val="nil"/>
              <w:left w:val="nil"/>
              <w:bottom w:val="single" w:color="auto" w:sz="4" w:space="0"/>
              <w:right w:val="single" w:color="auto" w:sz="4" w:space="0"/>
            </w:tcBorders>
            <w:vAlign w:val="center"/>
          </w:tcPr>
          <w:p>
            <w:pPr>
              <w:widowControl/>
              <w:spacing w:line="240" w:lineRule="exact"/>
              <w:rPr>
                <w:rFonts w:ascii="宋体" w:hAnsi="宋体" w:eastAsia="宋体" w:cs="宋体"/>
                <w:kern w:val="0"/>
                <w:sz w:val="18"/>
                <w:szCs w:val="18"/>
                <w:lang w:val="en-US" w:eastAsia="zh-CN" w:bidi="ar-SA"/>
              </w:rPr>
            </w:pPr>
            <w:r>
              <w:rPr>
                <w:rFonts w:hint="eastAsia" w:ascii="宋体" w:hAnsi="宋体" w:eastAsia="宋体" w:cs="宋体"/>
                <w:kern w:val="0"/>
                <w:sz w:val="18"/>
                <w:szCs w:val="18"/>
              </w:rPr>
              <w:t>2020年底保质保量完成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按工作计划完成</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成本指标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机关运行总成本　</w:t>
            </w:r>
          </w:p>
        </w:tc>
        <w:tc>
          <w:tcPr>
            <w:tcW w:w="3939"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省市人大征订《公民与法治》、《中国人大》等杂志报刊费用4万元，用于支付人大2020年电费14万元</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18</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万元</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经济效益指标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提高业务知识改善办公条件　</w:t>
            </w:r>
          </w:p>
        </w:tc>
        <w:tc>
          <w:tcPr>
            <w:tcW w:w="3939"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提高机关工作人员业务知识与能力，有效改善工作人员办公条件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社会效益指标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工作效率提高度　</w:t>
            </w:r>
          </w:p>
        </w:tc>
        <w:tc>
          <w:tcPr>
            <w:tcW w:w="3939" w:type="dxa"/>
            <w:tcBorders>
              <w:top w:val="nil"/>
              <w:left w:val="nil"/>
              <w:bottom w:val="single" w:color="auto" w:sz="4" w:space="0"/>
              <w:right w:val="single" w:color="auto" w:sz="4" w:space="0"/>
            </w:tcBorders>
            <w:vAlign w:val="center"/>
          </w:tcPr>
          <w:p>
            <w:pPr>
              <w:widowControl/>
              <w:spacing w:line="24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确保人大机关日常工作正常有序进行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较往年提高</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可持续影响指标</w:t>
            </w:r>
          </w:p>
        </w:tc>
        <w:tc>
          <w:tcPr>
            <w:tcW w:w="2033"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制度及方案健全程度　　</w:t>
            </w:r>
          </w:p>
        </w:tc>
        <w:tc>
          <w:tcPr>
            <w:tcW w:w="3939" w:type="dxa"/>
            <w:tcBorders>
              <w:top w:val="nil"/>
              <w:left w:val="nil"/>
              <w:bottom w:val="single" w:color="auto" w:sz="4" w:space="0"/>
              <w:right w:val="single" w:color="auto" w:sz="4" w:space="0"/>
            </w:tcBorders>
            <w:vAlign w:val="center"/>
          </w:tcPr>
          <w:p>
            <w:pPr>
              <w:widowControl/>
              <w:spacing w:line="24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办公条件一定周期内持续使用，保证了人大工作的连续性和完整性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健全</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913"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服务对象满意度指标</w:t>
            </w:r>
          </w:p>
        </w:tc>
        <w:tc>
          <w:tcPr>
            <w:tcW w:w="2033"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机关全体工作人员满意度</w:t>
            </w:r>
          </w:p>
        </w:tc>
        <w:tc>
          <w:tcPr>
            <w:tcW w:w="3939"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机关全体工作人员40人满意　</w:t>
            </w:r>
          </w:p>
        </w:tc>
        <w:tc>
          <w:tcPr>
            <w:tcW w:w="48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90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问卷调查</w:t>
            </w:r>
          </w:p>
        </w:tc>
      </w:tr>
      <w:tr>
        <w:tblPrEx>
          <w:tblCellMar>
            <w:top w:w="0" w:type="dxa"/>
            <w:left w:w="108" w:type="dxa"/>
            <w:bottom w:w="0" w:type="dxa"/>
            <w:right w:w="108" w:type="dxa"/>
          </w:tblCellMar>
        </w:tblPrEx>
        <w:trPr>
          <w:trHeight w:val="609" w:hRule="atLeast"/>
        </w:trPr>
        <w:tc>
          <w:tcPr>
            <w:tcW w:w="14743" w:type="dxa"/>
            <w:gridSpan w:val="8"/>
            <w:tcBorders>
              <w:top w:val="nil"/>
              <w:left w:val="nil"/>
              <w:bottom w:val="single" w:color="auto" w:sz="4" w:space="0"/>
              <w:right w:val="nil"/>
            </w:tcBorders>
            <w:vAlign w:val="center"/>
          </w:tcPr>
          <w:p>
            <w:pPr>
              <w:tabs>
                <w:tab w:val="left" w:pos="5505"/>
              </w:tabs>
              <w:rPr>
                <w:rFonts w:ascii="宋体" w:hAnsi="宋体" w:eastAsia="宋体" w:cs="宋体"/>
                <w:color w:val="000000"/>
                <w:kern w:val="0"/>
                <w:sz w:val="22"/>
              </w:rPr>
            </w:pPr>
            <w:r>
              <w:rPr>
                <w:rFonts w:ascii="宋体" w:hAnsi="宋体" w:eastAsia="宋体"/>
                <w:b/>
                <w:bCs/>
                <w:sz w:val="32"/>
                <w:szCs w:val="32"/>
              </w:rPr>
              <w:t>6.县人大物业管理费预算项目绩效目标表</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5198"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县人大物业管理费　</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sz w:val="18"/>
                <w:szCs w:val="18"/>
              </w:rPr>
              <w:t>为确保人大机关正常运行，改善工作环境，提高工作效率，机关食堂、卫生、保卫、会议等进行由物业公司接管，经费40万元。项目开始时间2020年1月，结束时间2020年12月。</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393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25%　</w:t>
            </w:r>
          </w:p>
        </w:tc>
        <w:tc>
          <w:tcPr>
            <w:tcW w:w="3939"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50%　</w:t>
            </w:r>
          </w:p>
        </w:tc>
        <w:tc>
          <w:tcPr>
            <w:tcW w:w="3055" w:type="dxa"/>
            <w:gridSpan w:val="3"/>
            <w:tcBorders>
              <w:top w:val="single" w:color="auto" w:sz="4" w:space="0"/>
              <w:left w:val="nil"/>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75%</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170" w:type="dxa"/>
            <w:gridSpan w:val="6"/>
            <w:tcBorders>
              <w:top w:val="single" w:color="auto" w:sz="4" w:space="0"/>
              <w:left w:val="nil"/>
              <w:bottom w:val="single" w:color="auto" w:sz="4" w:space="0"/>
              <w:right w:val="single" w:color="000000"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保证机关物业正常运转，确保机关物业管理无差错，人大机关日常工作有序进行　</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91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03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393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055"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1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03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3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481"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1278"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29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1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913" w:type="dxa"/>
            <w:tcBorders>
              <w:top w:val="nil"/>
              <w:left w:val="single" w:color="auto" w:sz="4" w:space="0"/>
              <w:bottom w:val="single" w:color="000000"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数量指标</w:t>
            </w:r>
          </w:p>
        </w:tc>
        <w:tc>
          <w:tcPr>
            <w:tcW w:w="203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物业管理面积　</w:t>
            </w:r>
          </w:p>
        </w:tc>
        <w:tc>
          <w:tcPr>
            <w:tcW w:w="3939" w:type="dxa"/>
            <w:tcBorders>
              <w:top w:val="nil"/>
              <w:left w:val="nil"/>
              <w:bottom w:val="single" w:color="auto" w:sz="4" w:space="0"/>
              <w:right w:val="single" w:color="auto"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sz w:val="18"/>
                <w:szCs w:val="18"/>
              </w:rPr>
              <w:t>机关食堂、卫生、保卫、会议等区域</w:t>
            </w:r>
          </w:p>
        </w:tc>
        <w:tc>
          <w:tcPr>
            <w:tcW w:w="48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b/>
                <w:bCs/>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1732</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平方米</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483"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质量指标</w:t>
            </w:r>
          </w:p>
        </w:tc>
        <w:tc>
          <w:tcPr>
            <w:tcW w:w="203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物业管理质量</w:t>
            </w:r>
          </w:p>
        </w:tc>
        <w:tc>
          <w:tcPr>
            <w:tcW w:w="3939" w:type="dxa"/>
            <w:tcBorders>
              <w:top w:val="nil"/>
              <w:left w:val="nil"/>
              <w:bottom w:val="single" w:color="auto" w:sz="4" w:space="0"/>
              <w:right w:val="single" w:color="auto"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sz w:val="18"/>
                <w:szCs w:val="18"/>
              </w:rPr>
              <w:t>实现全年物业管理无差错</w:t>
            </w:r>
          </w:p>
        </w:tc>
        <w:tc>
          <w:tcPr>
            <w:tcW w:w="48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时效指标</w:t>
            </w:r>
          </w:p>
        </w:tc>
        <w:tc>
          <w:tcPr>
            <w:tcW w:w="203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完成及时性　</w:t>
            </w:r>
          </w:p>
        </w:tc>
        <w:tc>
          <w:tcPr>
            <w:tcW w:w="3939" w:type="dxa"/>
            <w:tcBorders>
              <w:top w:val="nil"/>
              <w:left w:val="nil"/>
              <w:bottom w:val="single" w:color="auto" w:sz="4" w:space="0"/>
              <w:right w:val="single" w:color="auto"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2020年底保质保量完成　</w:t>
            </w:r>
          </w:p>
        </w:tc>
        <w:tc>
          <w:tcPr>
            <w:tcW w:w="48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按物业计划完成</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成本指标</w:t>
            </w:r>
          </w:p>
        </w:tc>
        <w:tc>
          <w:tcPr>
            <w:tcW w:w="203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物业管理总成本　</w:t>
            </w:r>
          </w:p>
        </w:tc>
        <w:tc>
          <w:tcPr>
            <w:tcW w:w="3939" w:type="dxa"/>
            <w:tcBorders>
              <w:top w:val="nil"/>
              <w:left w:val="nil"/>
              <w:bottom w:val="single" w:color="auto" w:sz="4" w:space="0"/>
              <w:right w:val="single" w:color="auto"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sz w:val="18"/>
                <w:szCs w:val="18"/>
              </w:rPr>
              <w:t>机关食堂、卫生、保卫、会议等</w:t>
            </w:r>
          </w:p>
        </w:tc>
        <w:tc>
          <w:tcPr>
            <w:tcW w:w="48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40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万元</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91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经济效益指标</w:t>
            </w:r>
          </w:p>
        </w:tc>
        <w:tc>
          <w:tcPr>
            <w:tcW w:w="203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改善办公条件　</w:t>
            </w:r>
          </w:p>
        </w:tc>
        <w:tc>
          <w:tcPr>
            <w:tcW w:w="3939" w:type="dxa"/>
            <w:tcBorders>
              <w:top w:val="nil"/>
              <w:left w:val="nil"/>
              <w:bottom w:val="single" w:color="auto" w:sz="4" w:space="0"/>
              <w:right w:val="single" w:color="auto"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提高机关工作人员业务知识与能力，有效改善工作人员办公条件　</w:t>
            </w:r>
          </w:p>
        </w:tc>
        <w:tc>
          <w:tcPr>
            <w:tcW w:w="48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社会效益指标</w:t>
            </w:r>
          </w:p>
        </w:tc>
        <w:tc>
          <w:tcPr>
            <w:tcW w:w="203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工作环境提高度　</w:t>
            </w:r>
          </w:p>
        </w:tc>
        <w:tc>
          <w:tcPr>
            <w:tcW w:w="3939" w:type="dxa"/>
            <w:tcBorders>
              <w:top w:val="nil"/>
              <w:left w:val="nil"/>
              <w:bottom w:val="single" w:color="auto" w:sz="4" w:space="0"/>
              <w:right w:val="single" w:color="auto"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确保人大机关日常工作正常有序进行　</w:t>
            </w:r>
          </w:p>
        </w:tc>
        <w:tc>
          <w:tcPr>
            <w:tcW w:w="48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较往年提高</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可持续影响指标</w:t>
            </w:r>
          </w:p>
        </w:tc>
        <w:tc>
          <w:tcPr>
            <w:tcW w:w="203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制度及方案健全程度　　</w:t>
            </w:r>
          </w:p>
        </w:tc>
        <w:tc>
          <w:tcPr>
            <w:tcW w:w="3939" w:type="dxa"/>
            <w:tcBorders>
              <w:top w:val="nil"/>
              <w:left w:val="nil"/>
              <w:bottom w:val="single" w:color="auto" w:sz="4" w:space="0"/>
              <w:right w:val="single" w:color="auto"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办公条件一定周期内持续使用，保证了人大工作的连续性和完整性　</w:t>
            </w:r>
          </w:p>
        </w:tc>
        <w:tc>
          <w:tcPr>
            <w:tcW w:w="48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健全</w:t>
            </w:r>
          </w:p>
        </w:tc>
        <w:tc>
          <w:tcPr>
            <w:tcW w:w="2143" w:type="dxa"/>
            <w:tcBorders>
              <w:top w:val="nil"/>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913"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服务对象满意度指标</w:t>
            </w:r>
          </w:p>
        </w:tc>
        <w:tc>
          <w:tcPr>
            <w:tcW w:w="2033"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机关全体工作人员满意度</w:t>
            </w:r>
          </w:p>
        </w:tc>
        <w:tc>
          <w:tcPr>
            <w:tcW w:w="3939" w:type="dxa"/>
            <w:tcBorders>
              <w:top w:val="single" w:color="auto" w:sz="4" w:space="0"/>
              <w:left w:val="nil"/>
              <w:bottom w:val="single" w:color="auto" w:sz="4" w:space="0"/>
              <w:right w:val="single" w:color="auto" w:sz="4" w:space="0"/>
            </w:tcBorders>
            <w:vAlign w:val="center"/>
          </w:tcPr>
          <w:p>
            <w:pPr>
              <w:widowControl/>
              <w:spacing w:line="36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机关全体工作人员40人满意　</w:t>
            </w:r>
          </w:p>
        </w:tc>
        <w:tc>
          <w:tcPr>
            <w:tcW w:w="48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90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问卷调查　</w:t>
            </w:r>
          </w:p>
        </w:tc>
      </w:tr>
      <w:tr>
        <w:tblPrEx>
          <w:tblCellMar>
            <w:top w:w="0" w:type="dxa"/>
            <w:left w:w="108" w:type="dxa"/>
            <w:bottom w:w="0" w:type="dxa"/>
            <w:right w:w="108" w:type="dxa"/>
          </w:tblCellMar>
        </w:tblPrEx>
        <w:trPr>
          <w:trHeight w:val="609" w:hRule="atLeast"/>
        </w:trPr>
        <w:tc>
          <w:tcPr>
            <w:tcW w:w="14743" w:type="dxa"/>
            <w:gridSpan w:val="8"/>
            <w:tcBorders>
              <w:top w:val="nil"/>
              <w:left w:val="nil"/>
              <w:bottom w:val="single" w:color="auto" w:sz="4" w:space="0"/>
              <w:right w:val="nil"/>
            </w:tcBorders>
            <w:vAlign w:val="center"/>
          </w:tcPr>
          <w:p>
            <w:pPr>
              <w:rPr>
                <w:rFonts w:ascii="宋体" w:hAnsi="宋体" w:eastAsia="宋体" w:cs="宋体"/>
                <w:color w:val="000000"/>
                <w:kern w:val="0"/>
                <w:sz w:val="22"/>
              </w:rPr>
            </w:pPr>
            <w:r>
              <w:rPr>
                <w:rFonts w:ascii="宋体" w:hAnsi="宋体" w:eastAsia="宋体"/>
                <w:b/>
                <w:bCs/>
                <w:sz w:val="32"/>
                <w:szCs w:val="32"/>
              </w:rPr>
              <w:t>7.县人大六个专门委员会经费预算项目绩效目标表</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5198"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县人大六个专门委员会经费　</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jc w:val="left"/>
              <w:rPr>
                <w:rFonts w:ascii="宋体" w:hAnsi="宋体" w:eastAsia="宋体" w:cs="宋体"/>
                <w:kern w:val="0"/>
                <w:sz w:val="15"/>
                <w:szCs w:val="15"/>
                <w:lang w:val="en-US" w:eastAsia="zh-CN" w:bidi="ar-SA"/>
              </w:rPr>
            </w:pPr>
            <w:r>
              <w:rPr>
                <w:rFonts w:hint="eastAsia" w:ascii="宋体" w:hAnsi="宋体" w:eastAsia="宋体" w:cs="宋体"/>
                <w:sz w:val="18"/>
                <w:szCs w:val="18"/>
              </w:rPr>
              <w:t>六个专门委员会，于2018年通过人民代表大会选举产生的，主要用于六个专门委员会正常办公运转经费支出、会议准备、发布公告，筹备及文件起草、印刷文件，各种证件准备，笔记本，笔、纸、占堂等用品支出。项目一个资金20万元，开始时间2020年1月，结束时间2020年12月。</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393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25%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50%</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75%　</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170" w:type="dxa"/>
            <w:gridSpan w:val="6"/>
            <w:tcBorders>
              <w:top w:val="single" w:color="auto" w:sz="4" w:space="0"/>
              <w:left w:val="nil"/>
              <w:bottom w:val="single" w:color="auto" w:sz="4" w:space="0"/>
              <w:right w:val="single" w:color="000000" w:sz="4" w:space="0"/>
            </w:tcBorders>
            <w:vAlign w:val="center"/>
          </w:tcPr>
          <w:p>
            <w:pPr>
              <w:widowControl/>
              <w:jc w:val="left"/>
              <w:rPr>
                <w:rFonts w:ascii="宋体" w:hAnsi="宋体" w:eastAsia="宋体" w:cs="宋体"/>
                <w:kern w:val="0"/>
                <w:sz w:val="15"/>
                <w:szCs w:val="15"/>
                <w:lang w:val="en-US" w:eastAsia="zh-CN" w:bidi="ar-SA"/>
              </w:rPr>
            </w:pPr>
            <w:r>
              <w:rPr>
                <w:rFonts w:hint="eastAsia" w:ascii="宋体" w:hAnsi="宋体" w:eastAsia="宋体" w:cs="宋体"/>
                <w:kern w:val="0"/>
                <w:sz w:val="18"/>
                <w:szCs w:val="18"/>
              </w:rPr>
              <w:t xml:space="preserve">按照县委、县人大工作要求，组织县人大常委委员进行集中视察调研，开展代表建议督办。对县政府组成人员和县级人民法院、检察院主要负责人进行目标责任监督、述职报告。监督经济和社会发展计划有效实施，进行视察调研，确保代表们提高履职水平，推进县域经济更好更快发展。   </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91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03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393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055"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1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03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3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481"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1278"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29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1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913" w:type="dxa"/>
            <w:tcBorders>
              <w:top w:val="nil"/>
              <w:left w:val="single" w:color="auto" w:sz="4" w:space="0"/>
              <w:bottom w:val="single" w:color="000000"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数量指标</w:t>
            </w:r>
          </w:p>
        </w:tc>
        <w:tc>
          <w:tcPr>
            <w:tcW w:w="203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专门委员会数量　</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5"/>
                <w:szCs w:val="15"/>
                <w:lang w:val="en-US" w:eastAsia="zh-CN" w:bidi="ar-SA"/>
              </w:rPr>
            </w:pPr>
            <w:r>
              <w:rPr>
                <w:rFonts w:hint="eastAsia" w:ascii="宋体" w:hAnsi="宋体" w:eastAsia="宋体" w:cs="宋体"/>
                <w:kern w:val="0"/>
                <w:sz w:val="15"/>
                <w:szCs w:val="15"/>
              </w:rPr>
              <w:t>专门委员会是农业和农村经济委员会、法制委员会、财政经济委员会、教育科学文化卫生委员会、城乡建设与环境资源保护委员会、社会建设委员会等六个专门委员会</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6</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个</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质量指标</w:t>
            </w:r>
          </w:p>
        </w:tc>
        <w:tc>
          <w:tcPr>
            <w:tcW w:w="203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视察调研质量　</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组织人大代表对政法、水务、农业、科技、财政、环境等六个方面进行视察及执法检查，致力解决民生问题　</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圆满完成</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时效指标</w:t>
            </w:r>
          </w:p>
        </w:tc>
        <w:tc>
          <w:tcPr>
            <w:tcW w:w="203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完成及时性　</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2020年度年底完成　</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按工作计划完成</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成本指标</w:t>
            </w:r>
          </w:p>
        </w:tc>
        <w:tc>
          <w:tcPr>
            <w:tcW w:w="203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六个专门委员会经费成本　</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六个委员会正常办公运转经费10万元，会议费10万元.</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20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万元</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社会效益指标</w:t>
            </w:r>
          </w:p>
        </w:tc>
        <w:tc>
          <w:tcPr>
            <w:tcW w:w="203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民生问题个数　</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视察、培训提高了代表参政议政的能力，民生问题得到更好的解决　</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5</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件</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可持续影响指标</w:t>
            </w:r>
          </w:p>
        </w:tc>
        <w:tc>
          <w:tcPr>
            <w:tcW w:w="203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制度及方案健全程度　</w:t>
            </w:r>
          </w:p>
        </w:tc>
        <w:tc>
          <w:tcPr>
            <w:tcW w:w="3939" w:type="dxa"/>
            <w:tcBorders>
              <w:top w:val="nil"/>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确保人大工作连续性和完整性　</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健全</w:t>
            </w:r>
          </w:p>
        </w:tc>
        <w:tc>
          <w:tcPr>
            <w:tcW w:w="2143" w:type="dxa"/>
            <w:tcBorders>
              <w:top w:val="nil"/>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913"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服务对象满意度指标</w:t>
            </w:r>
          </w:p>
        </w:tc>
        <w:tc>
          <w:tcPr>
            <w:tcW w:w="2033"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广大代表满意度　</w:t>
            </w:r>
          </w:p>
        </w:tc>
        <w:tc>
          <w:tcPr>
            <w:tcW w:w="393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做到广大代表满意　</w:t>
            </w:r>
          </w:p>
        </w:tc>
        <w:tc>
          <w:tcPr>
            <w:tcW w:w="4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90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问卷调查　</w:t>
            </w:r>
          </w:p>
        </w:tc>
      </w:tr>
      <w:tr>
        <w:tblPrEx>
          <w:tblCellMar>
            <w:top w:w="0" w:type="dxa"/>
            <w:left w:w="108" w:type="dxa"/>
            <w:bottom w:w="0" w:type="dxa"/>
            <w:right w:w="108" w:type="dxa"/>
          </w:tblCellMar>
        </w:tblPrEx>
        <w:trPr>
          <w:trHeight w:val="609" w:hRule="atLeast"/>
        </w:trPr>
        <w:tc>
          <w:tcPr>
            <w:tcW w:w="14743" w:type="dxa"/>
            <w:gridSpan w:val="8"/>
            <w:tcBorders>
              <w:top w:val="nil"/>
              <w:left w:val="nil"/>
              <w:bottom w:val="single" w:color="auto" w:sz="4" w:space="0"/>
              <w:right w:val="nil"/>
            </w:tcBorders>
            <w:vAlign w:val="center"/>
          </w:tcPr>
          <w:p>
            <w:pPr>
              <w:widowControl/>
              <w:rPr>
                <w:rFonts w:ascii="宋体" w:hAnsi="宋体" w:eastAsia="宋体" w:cs="宋体"/>
                <w:color w:val="000000"/>
                <w:kern w:val="0"/>
                <w:sz w:val="22"/>
              </w:rPr>
            </w:pPr>
            <w:r>
              <w:rPr>
                <w:rFonts w:ascii="宋体" w:hAnsi="宋体" w:eastAsia="宋体" w:cs="宋体"/>
                <w:b/>
                <w:bCs/>
                <w:color w:val="000000"/>
                <w:kern w:val="0"/>
                <w:sz w:val="32"/>
                <w:szCs w:val="32"/>
              </w:rPr>
              <w:t>8、县人大八一退役军人慰问金预算项目绩效目标</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5198"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县人大八一退役军人慰问金　</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jc w:val="left"/>
              <w:rPr>
                <w:rFonts w:ascii="宋体" w:hAnsi="宋体" w:eastAsia="宋体" w:cs="宋体"/>
                <w:kern w:val="0"/>
                <w:sz w:val="18"/>
                <w:szCs w:val="18"/>
                <w:lang w:val="en-US" w:eastAsia="zh-CN" w:bidi="ar-SA"/>
              </w:rPr>
            </w:pPr>
            <w:r>
              <w:rPr>
                <w:rFonts w:ascii="宋体" w:hAnsi="宋体" w:eastAsia="宋体" w:cs="宋体"/>
                <w:kern w:val="0"/>
                <w:sz w:val="18"/>
                <w:szCs w:val="18"/>
              </w:rPr>
              <w:t>人大机关八一退役军人慰问金，用于慰问人大机关有11人复员退</w:t>
            </w:r>
            <w:r>
              <w:rPr>
                <w:rFonts w:hint="eastAsia" w:ascii="宋体" w:hAnsi="宋体" w:eastAsia="宋体" w:cs="宋体"/>
                <w:kern w:val="0"/>
                <w:sz w:val="18"/>
                <w:szCs w:val="18"/>
              </w:rPr>
              <w:t>役</w:t>
            </w:r>
            <w:r>
              <w:rPr>
                <w:rFonts w:ascii="宋体" w:hAnsi="宋体" w:eastAsia="宋体" w:cs="宋体"/>
                <w:kern w:val="0"/>
                <w:sz w:val="18"/>
                <w:szCs w:val="18"/>
              </w:rPr>
              <w:t>军人，于2020年第三季度完成慰问任务。</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3939"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305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170" w:type="dxa"/>
            <w:gridSpan w:val="6"/>
            <w:tcBorders>
              <w:top w:val="single" w:color="auto" w:sz="4" w:space="0"/>
              <w:left w:val="nil"/>
              <w:bottom w:val="single" w:color="auto" w:sz="4" w:space="0"/>
              <w:right w:val="single" w:color="000000" w:sz="4" w:space="0"/>
            </w:tcBorders>
            <w:vAlign w:val="center"/>
          </w:tcPr>
          <w:p>
            <w:pPr>
              <w:widowControl/>
              <w:jc w:val="left"/>
              <w:rPr>
                <w:rFonts w:hint="eastAsia" w:ascii="宋体" w:hAnsi="宋体" w:eastAsia="宋体" w:cs="宋体"/>
                <w:kern w:val="0"/>
                <w:sz w:val="18"/>
                <w:szCs w:val="18"/>
                <w:lang w:val="en-US" w:eastAsia="zh-CN" w:bidi="ar-SA"/>
              </w:rPr>
            </w:pPr>
            <w:r>
              <w:rPr>
                <w:rFonts w:hint="eastAsia" w:ascii="宋体" w:hAnsi="宋体" w:eastAsia="宋体" w:cs="宋体"/>
                <w:kern w:val="0"/>
                <w:sz w:val="18"/>
                <w:szCs w:val="18"/>
              </w:rPr>
              <w:t>　按照上级对退伍军人工作要求，按时发放军人慰问金，积极妥善完成退休军人慰问金发放工作。</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91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03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393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055"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1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03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3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481"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1278"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29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1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913"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数量指标</w:t>
            </w:r>
          </w:p>
        </w:tc>
        <w:tc>
          <w:tcPr>
            <w:tcW w:w="203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享受军人慰问金人数</w:t>
            </w:r>
          </w:p>
        </w:tc>
        <w:tc>
          <w:tcPr>
            <w:tcW w:w="3939"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u w:val="single"/>
                <w:lang w:val="en-US" w:eastAsia="zh-CN" w:bidi="ar-SA"/>
              </w:rPr>
            </w:pPr>
            <w:r>
              <w:rPr>
                <w:rFonts w:hint="eastAsia" w:ascii="宋体" w:hAnsi="宋体" w:eastAsia="宋体" w:cs="宋体"/>
                <w:kern w:val="0"/>
                <w:sz w:val="18"/>
                <w:szCs w:val="18"/>
              </w:rPr>
              <w:t>人大机关享受军人慰问金人数11人，人均100元</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lang w:val="en-US" w:eastAsia="zh-CN" w:bidi="ar-SA"/>
              </w:rPr>
            </w:pPr>
            <w:r>
              <w:rPr>
                <w:rFonts w:hint="eastAsia" w:ascii="宋体" w:hAnsi="宋体" w:eastAsia="宋体" w:cs="宋体"/>
                <w:kern w:val="0"/>
                <w:sz w:val="18"/>
                <w:szCs w:val="18"/>
              </w:rPr>
              <w:t>＝</w:t>
            </w:r>
          </w:p>
        </w:tc>
        <w:tc>
          <w:tcPr>
            <w:tcW w:w="127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11</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人</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质量指标</w:t>
            </w:r>
          </w:p>
        </w:tc>
        <w:tc>
          <w:tcPr>
            <w:tcW w:w="203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按时保质保量发放到位率</w:t>
            </w:r>
          </w:p>
        </w:tc>
        <w:tc>
          <w:tcPr>
            <w:tcW w:w="3939" w:type="dxa"/>
            <w:tcBorders>
              <w:top w:val="nil"/>
              <w:left w:val="nil"/>
              <w:bottom w:val="single" w:color="auto" w:sz="4" w:space="0"/>
              <w:right w:val="single" w:color="auto" w:sz="4" w:space="0"/>
            </w:tcBorders>
            <w:vAlign w:val="center"/>
          </w:tcPr>
          <w:p>
            <w:pPr>
              <w:widowControl/>
              <w:rPr>
                <w:rFonts w:ascii="宋体" w:hAnsi="宋体" w:eastAsia="宋体" w:cs="宋体"/>
                <w:kern w:val="0"/>
                <w:sz w:val="18"/>
                <w:szCs w:val="18"/>
                <w:lang w:val="en-US" w:eastAsia="zh-CN" w:bidi="ar-SA"/>
              </w:rPr>
            </w:pPr>
            <w:r>
              <w:rPr>
                <w:rFonts w:hint="eastAsia" w:ascii="宋体" w:hAnsi="宋体" w:eastAsia="宋体" w:cs="宋体"/>
                <w:kern w:val="0"/>
                <w:sz w:val="18"/>
                <w:szCs w:val="18"/>
              </w:rPr>
              <w:t>人大机关享受军人慰问金人数11人，保证及时发放到位，积极稳妥的完成发放任务</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时效指标</w:t>
            </w:r>
          </w:p>
        </w:tc>
        <w:tc>
          <w:tcPr>
            <w:tcW w:w="203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完成时间</w:t>
            </w:r>
          </w:p>
        </w:tc>
        <w:tc>
          <w:tcPr>
            <w:tcW w:w="3939" w:type="dxa"/>
            <w:tcBorders>
              <w:top w:val="nil"/>
              <w:left w:val="nil"/>
              <w:bottom w:val="single" w:color="auto" w:sz="4" w:space="0"/>
              <w:right w:val="single" w:color="auto" w:sz="4" w:space="0"/>
            </w:tcBorders>
            <w:vAlign w:val="center"/>
          </w:tcPr>
          <w:p>
            <w:pPr>
              <w:widowControl/>
              <w:rPr>
                <w:rFonts w:ascii="宋体" w:hAnsi="宋体" w:eastAsia="宋体" w:cs="宋体"/>
                <w:kern w:val="0"/>
                <w:sz w:val="18"/>
                <w:szCs w:val="18"/>
                <w:lang w:val="en-US" w:eastAsia="zh-CN" w:bidi="ar-SA"/>
              </w:rPr>
            </w:pPr>
            <w:r>
              <w:rPr>
                <w:rFonts w:hint="eastAsia" w:ascii="宋体" w:hAnsi="宋体" w:eastAsia="宋体" w:cs="宋体"/>
                <w:kern w:val="0"/>
                <w:sz w:val="18"/>
                <w:szCs w:val="18"/>
              </w:rPr>
              <w:t>2020年8月1日完成</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8月份完成</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成本指标</w:t>
            </w:r>
          </w:p>
        </w:tc>
        <w:tc>
          <w:tcPr>
            <w:tcW w:w="203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八一退役军人慰问金人均费用</w:t>
            </w:r>
          </w:p>
        </w:tc>
        <w:tc>
          <w:tcPr>
            <w:tcW w:w="3939" w:type="dxa"/>
            <w:tcBorders>
              <w:top w:val="nil"/>
              <w:left w:val="nil"/>
              <w:bottom w:val="single" w:color="auto" w:sz="4" w:space="0"/>
              <w:right w:val="single" w:color="auto" w:sz="4" w:space="0"/>
            </w:tcBorders>
            <w:vAlign w:val="center"/>
          </w:tcPr>
          <w:p>
            <w:pPr>
              <w:widowControl/>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人大机关享受军人慰问金人数11人，人均100元</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100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元</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社会效益指标</w:t>
            </w:r>
          </w:p>
        </w:tc>
        <w:tc>
          <w:tcPr>
            <w:tcW w:w="203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军人慰问个数</w:t>
            </w:r>
          </w:p>
        </w:tc>
        <w:tc>
          <w:tcPr>
            <w:tcW w:w="3939" w:type="dxa"/>
            <w:tcBorders>
              <w:top w:val="nil"/>
              <w:left w:val="nil"/>
              <w:bottom w:val="single" w:color="auto" w:sz="4" w:space="0"/>
              <w:right w:val="single" w:color="auto" w:sz="4" w:space="0"/>
            </w:tcBorders>
            <w:vAlign w:val="center"/>
          </w:tcPr>
          <w:p>
            <w:pPr>
              <w:widowControl/>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提高退役军人的积极性，更能鼓励退役军人投身于家乡的建设工作</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提高</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91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可持续影响指标</w:t>
            </w:r>
          </w:p>
        </w:tc>
        <w:tc>
          <w:tcPr>
            <w:tcW w:w="203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制度及方案健全程度　　</w:t>
            </w:r>
          </w:p>
        </w:tc>
        <w:tc>
          <w:tcPr>
            <w:tcW w:w="3939" w:type="dxa"/>
            <w:tcBorders>
              <w:top w:val="nil"/>
              <w:left w:val="nil"/>
              <w:bottom w:val="single" w:color="auto" w:sz="4" w:space="0"/>
              <w:right w:val="single" w:color="auto" w:sz="4" w:space="0"/>
            </w:tcBorders>
            <w:vAlign w:val="center"/>
          </w:tcPr>
          <w:p>
            <w:pPr>
              <w:widowControl/>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办公条件一定周期内持续使用，保证了人大工作的连续性和完整性　</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p>
        </w:tc>
        <w:tc>
          <w:tcPr>
            <w:tcW w:w="1296"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健全</w:t>
            </w:r>
          </w:p>
        </w:tc>
        <w:tc>
          <w:tcPr>
            <w:tcW w:w="21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计划标准</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91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服务对象满意度指标</w:t>
            </w:r>
          </w:p>
        </w:tc>
        <w:tc>
          <w:tcPr>
            <w:tcW w:w="203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退役军人满意度　</w:t>
            </w:r>
          </w:p>
        </w:tc>
        <w:tc>
          <w:tcPr>
            <w:tcW w:w="3939" w:type="dxa"/>
            <w:tcBorders>
              <w:top w:val="single" w:color="auto" w:sz="4" w:space="0"/>
              <w:left w:val="nil"/>
              <w:bottom w:val="single" w:color="auto" w:sz="4" w:space="0"/>
              <w:right w:val="single" w:color="auto" w:sz="4" w:space="0"/>
            </w:tcBorders>
            <w:vAlign w:val="center"/>
          </w:tcPr>
          <w:p>
            <w:pPr>
              <w:widowControl/>
              <w:jc w:val="left"/>
              <w:rPr>
                <w:rFonts w:ascii="宋体" w:hAnsi="宋体" w:eastAsia="宋体" w:cs="宋体"/>
                <w:kern w:val="0"/>
                <w:sz w:val="18"/>
                <w:szCs w:val="18"/>
                <w:lang w:val="en-US" w:eastAsia="zh-CN" w:bidi="ar-SA"/>
              </w:rPr>
            </w:pPr>
            <w:r>
              <w:rPr>
                <w:rFonts w:hint="eastAsia" w:ascii="宋体" w:hAnsi="宋体" w:eastAsia="宋体" w:cs="宋体"/>
                <w:kern w:val="0"/>
                <w:sz w:val="18"/>
                <w:szCs w:val="18"/>
              </w:rPr>
              <w:t>让广大退役军人满意</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　</w:t>
            </w:r>
          </w:p>
        </w:tc>
        <w:tc>
          <w:tcPr>
            <w:tcW w:w="1278"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90</w:t>
            </w:r>
          </w:p>
        </w:tc>
        <w:tc>
          <w:tcPr>
            <w:tcW w:w="1296"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w:t>
            </w:r>
          </w:p>
        </w:tc>
        <w:tc>
          <w:tcPr>
            <w:tcW w:w="21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lang w:val="en-US" w:eastAsia="zh-CN" w:bidi="ar-SA"/>
              </w:rPr>
            </w:pPr>
            <w:r>
              <w:rPr>
                <w:rFonts w:hint="eastAsia" w:ascii="宋体" w:hAnsi="宋体" w:eastAsia="宋体" w:cs="宋体"/>
                <w:kern w:val="0"/>
                <w:sz w:val="18"/>
                <w:szCs w:val="18"/>
              </w:rPr>
              <w:t>问卷调查　</w:t>
            </w:r>
          </w:p>
        </w:tc>
      </w:tr>
    </w:tbl>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黑体" w:eastAsia="黑体"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六、政府采购预算情况</w:t>
      </w:r>
    </w:p>
    <w:p>
      <w:pPr>
        <w:spacing w:line="584" w:lineRule="exact"/>
        <w:ind w:firstLine="640" w:firstLineChars="200"/>
        <w:outlineLvl w:val="0"/>
        <w:rPr>
          <w:rFonts w:ascii="Times New Roman" w:hAnsi="Times New Roman" w:eastAsia="仿宋_GB2312" w:cs="Times New Roman"/>
          <w:color w:val="FF0000"/>
          <w:sz w:val="32"/>
          <w:szCs w:val="24"/>
        </w:rPr>
      </w:pPr>
      <w:bookmarkStart w:id="1" w:name="_Toc471398468"/>
      <w:r>
        <w:rPr>
          <w:rFonts w:ascii="Times New Roman" w:hAnsi="Times New Roman" w:eastAsia="仿宋_GB2312" w:cs="Times New Roman"/>
          <w:sz w:val="32"/>
          <w:szCs w:val="24"/>
        </w:rPr>
        <w:t>2020年，我部门安排政府采购预算</w:t>
      </w:r>
      <w:r>
        <w:rPr>
          <w:rFonts w:hint="eastAsia" w:ascii="Times New Roman" w:hAnsi="Times New Roman" w:eastAsia="仿宋_GB2312" w:cs="Times New Roman"/>
          <w:sz w:val="32"/>
          <w:szCs w:val="24"/>
          <w:lang w:val="en-US" w:eastAsia="zh-CN"/>
        </w:rPr>
        <w:t>40</w:t>
      </w:r>
      <w:r>
        <w:rPr>
          <w:rFonts w:ascii="Times New Roman" w:hAnsi="Times New Roman" w:eastAsia="仿宋_GB2312" w:cs="Times New Roman"/>
          <w:sz w:val="32"/>
          <w:szCs w:val="24"/>
        </w:rPr>
        <w:t>万元。具体内容见下表。</w:t>
      </w:r>
    </w:p>
    <w:bookmarkEnd w:id="1"/>
    <w:p>
      <w:pPr>
        <w:spacing w:line="584" w:lineRule="exact"/>
        <w:jc w:val="center"/>
        <w:outlineLvl w:val="0"/>
        <w:rPr>
          <w:rFonts w:ascii="Times New Roman" w:hAnsi="Times New Roman" w:eastAsia="仿宋_GB2312" w:cs="Times New Roman"/>
          <w:sz w:val="32"/>
        </w:rPr>
      </w:pPr>
      <w:bookmarkStart w:id="2" w:name="_Toc504489153"/>
      <w:r>
        <w:rPr>
          <w:rFonts w:ascii="Times New Roman" w:hAnsi="Times New Roman" w:eastAsia="仿宋_GB2312" w:cs="Times New Roman"/>
          <w:sz w:val="32"/>
        </w:rPr>
        <w:t>部门政府采购预算</w:t>
      </w:r>
      <w:bookmarkEnd w:id="2"/>
    </w:p>
    <w:tbl>
      <w:tblPr>
        <w:tblStyle w:val="9"/>
        <w:tblW w:w="4851"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2397"/>
        <w:gridCol w:w="1057"/>
        <w:gridCol w:w="926"/>
        <w:gridCol w:w="1364"/>
        <w:gridCol w:w="720"/>
        <w:gridCol w:w="731"/>
        <w:gridCol w:w="973"/>
        <w:gridCol w:w="956"/>
        <w:gridCol w:w="956"/>
        <w:gridCol w:w="956"/>
        <w:gridCol w:w="790"/>
        <w:gridCol w:w="924"/>
        <w:gridCol w:w="929"/>
        <w:gridCol w:w="88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804" w:type="pct"/>
            <w:gridSpan w:val="7"/>
            <w:tcBorders>
              <w:top w:val="single" w:color="FFFFFF" w:sz="6" w:space="0"/>
              <w:left w:val="single" w:color="FFFFFF" w:sz="6" w:space="0"/>
              <w:right w:val="single" w:color="FFFFFF" w:sz="6" w:space="0"/>
            </w:tcBorders>
            <w:shd w:val="clear" w:color="auto" w:fill="auto"/>
            <w:vAlign w:val="center"/>
          </w:tcPr>
          <w:p>
            <w:pPr>
              <w:spacing w:line="584" w:lineRule="exact"/>
              <w:jc w:val="left"/>
              <w:rPr>
                <w:rFonts w:hint="eastAsia" w:ascii="Times New Roman" w:hAnsi="Times New Roman" w:eastAsia="仿宋_GB2312" w:cs="Times New Roman"/>
                <w:color w:val="000000" w:themeColor="text1"/>
                <w:sz w:val="24"/>
                <w:lang w:eastAsia="zh-CN"/>
              </w:rPr>
            </w:pPr>
            <w:r>
              <w:rPr>
                <w:rFonts w:hint="eastAsia" w:ascii="Times New Roman" w:hAnsi="Times New Roman" w:eastAsia="仿宋_GB2312" w:cs="Times New Roman"/>
                <w:sz w:val="24"/>
              </w:rPr>
              <w:t>永清县</w:t>
            </w:r>
            <w:r>
              <w:rPr>
                <w:rFonts w:hint="eastAsia" w:ascii="Times New Roman" w:hAnsi="Times New Roman" w:eastAsia="仿宋_GB2312" w:cs="Times New Roman"/>
                <w:color w:val="000000" w:themeColor="text1"/>
                <w:sz w:val="24"/>
                <w:lang w:eastAsia="zh-CN"/>
              </w:rPr>
              <w:t>人民代表大会常务委员会</w:t>
            </w:r>
          </w:p>
        </w:tc>
        <w:tc>
          <w:tcPr>
            <w:tcW w:w="2195" w:type="pct"/>
            <w:gridSpan w:val="7"/>
            <w:tcBorders>
              <w:top w:val="single" w:color="FFFFFF" w:sz="6" w:space="0"/>
              <w:left w:val="single" w:color="FFFFFF" w:sz="6" w:space="0"/>
              <w:right w:val="single" w:color="FFFFFF" w:sz="6" w:space="0"/>
            </w:tcBorders>
            <w:shd w:val="clear" w:color="auto" w:fill="auto"/>
            <w:vAlign w:val="center"/>
          </w:tcPr>
          <w:p>
            <w:pPr>
              <w:spacing w:line="584" w:lineRule="exact"/>
              <w:jc w:val="right"/>
              <w:rPr>
                <w:rFonts w:ascii="Times New Roman" w:hAnsi="Times New Roman" w:eastAsia="仿宋_GB2312" w:cs="Times New Roman"/>
                <w:sz w:val="24"/>
              </w:rPr>
            </w:pPr>
            <w:r>
              <w:rPr>
                <w:rFonts w:ascii="Times New Roman" w:hAnsi="Times New Roman" w:eastAsia="仿宋_GB2312" w:cs="Times New Roman"/>
                <w:sz w:val="24"/>
              </w:rP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1186" w:type="pct"/>
            <w:gridSpan w:val="2"/>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政府采购项目来源</w:t>
            </w:r>
          </w:p>
        </w:tc>
        <w:tc>
          <w:tcPr>
            <w:tcW w:w="318"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采购物品名称</w:t>
            </w:r>
          </w:p>
        </w:tc>
        <w:tc>
          <w:tcPr>
            <w:tcW w:w="468"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政府采购目录序号</w:t>
            </w:r>
          </w:p>
        </w:tc>
        <w:tc>
          <w:tcPr>
            <w:tcW w:w="247"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数量单位</w:t>
            </w:r>
          </w:p>
        </w:tc>
        <w:tc>
          <w:tcPr>
            <w:tcW w:w="251"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数量</w:t>
            </w:r>
          </w:p>
        </w:tc>
        <w:tc>
          <w:tcPr>
            <w:tcW w:w="331"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单价</w:t>
            </w:r>
          </w:p>
        </w:tc>
        <w:tc>
          <w:tcPr>
            <w:tcW w:w="2195" w:type="pct"/>
            <w:gridSpan w:val="7"/>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23"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项目名称</w:t>
            </w:r>
          </w:p>
        </w:tc>
        <w:tc>
          <w:tcPr>
            <w:tcW w:w="362"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预算资金</w:t>
            </w:r>
          </w:p>
        </w:tc>
        <w:tc>
          <w:tcPr>
            <w:tcW w:w="318"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468"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47"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51"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31"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总计</w:t>
            </w:r>
          </w:p>
        </w:tc>
        <w:tc>
          <w:tcPr>
            <w:tcW w:w="1563" w:type="pct"/>
            <w:gridSpan w:val="5"/>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当年部门预算安排资金</w:t>
            </w:r>
          </w:p>
        </w:tc>
        <w:tc>
          <w:tcPr>
            <w:tcW w:w="304"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其他渠道资金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23"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62"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18"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468"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47"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51"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31"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合计</w:t>
            </w:r>
          </w:p>
        </w:tc>
        <w:tc>
          <w:tcPr>
            <w:tcW w:w="328"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一般公共预算拨款</w:t>
            </w:r>
          </w:p>
        </w:tc>
        <w:tc>
          <w:tcPr>
            <w:tcW w:w="271"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基金预算拨款</w:t>
            </w:r>
          </w:p>
        </w:tc>
        <w:tc>
          <w:tcPr>
            <w:tcW w:w="317"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财政专户核拨</w:t>
            </w:r>
          </w:p>
        </w:tc>
        <w:tc>
          <w:tcPr>
            <w:tcW w:w="318"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其他来源收入</w:t>
            </w:r>
          </w:p>
        </w:tc>
        <w:tc>
          <w:tcPr>
            <w:tcW w:w="304"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3"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合　计</w:t>
            </w:r>
          </w:p>
        </w:tc>
        <w:tc>
          <w:tcPr>
            <w:tcW w:w="362" w:type="pct"/>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2"/>
                <w:sz w:val="20"/>
                <w:szCs w:val="20"/>
                <w:u w:val="none"/>
                <w:lang w:val="en-US" w:eastAsia="zh-CN" w:bidi="ar-SA"/>
              </w:rPr>
            </w:pPr>
            <w:r>
              <w:rPr>
                <w:rFonts w:hint="eastAsia" w:ascii="仿宋_GB2312" w:hAnsi="仿宋_GB2312" w:eastAsia="仿宋_GB2312" w:cs="仿宋_GB2312"/>
                <w:b w:val="0"/>
                <w:bCs/>
                <w:i w:val="0"/>
                <w:color w:val="000000"/>
                <w:kern w:val="2"/>
                <w:sz w:val="20"/>
                <w:szCs w:val="20"/>
                <w:u w:val="none"/>
                <w:lang w:val="en-US" w:eastAsia="zh-CN" w:bidi="ar-SA"/>
              </w:rPr>
              <w:t>一般预算资金</w:t>
            </w:r>
          </w:p>
        </w:tc>
        <w:tc>
          <w:tcPr>
            <w:tcW w:w="318" w:type="pct"/>
            <w:shd w:val="clear" w:color="auto" w:fill="auto"/>
            <w:vAlign w:val="center"/>
          </w:tcPr>
          <w:p>
            <w:pPr>
              <w:spacing w:line="584" w:lineRule="exact"/>
              <w:jc w:val="left"/>
              <w:rPr>
                <w:rFonts w:hint="eastAsia" w:ascii="Times New Roman" w:hAnsi="Times New Roman" w:eastAsia="仿宋_GB2312" w:cs="Times New Roman"/>
                <w:b w:val="0"/>
                <w:bCs/>
                <w:kern w:val="2"/>
                <w:sz w:val="21"/>
                <w:szCs w:val="22"/>
                <w:lang w:val="en-US" w:eastAsia="zh-CN" w:bidi="ar-SA"/>
              </w:rPr>
            </w:pPr>
            <w:r>
              <w:rPr>
                <w:rFonts w:hint="eastAsia" w:ascii="Times New Roman" w:hAnsi="Times New Roman" w:eastAsia="仿宋_GB2312" w:cs="Times New Roman"/>
                <w:b w:val="0"/>
                <w:bCs/>
                <w:lang w:eastAsia="zh-CN"/>
              </w:rPr>
              <w:t>物业管理费</w:t>
            </w:r>
          </w:p>
        </w:tc>
        <w:tc>
          <w:tcPr>
            <w:tcW w:w="468" w:type="pct"/>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2"/>
                <w:sz w:val="20"/>
                <w:szCs w:val="20"/>
                <w:u w:val="none"/>
                <w:lang w:val="en-US" w:eastAsia="zh-CN" w:bidi="ar-SA"/>
              </w:rPr>
            </w:pPr>
            <w:r>
              <w:rPr>
                <w:rFonts w:hint="eastAsia" w:ascii="仿宋_GB2312" w:hAnsi="仿宋_GB2312" w:eastAsia="仿宋_GB2312" w:cs="仿宋_GB2312"/>
                <w:b w:val="0"/>
                <w:bCs/>
                <w:i w:val="0"/>
                <w:color w:val="000000"/>
                <w:kern w:val="0"/>
                <w:sz w:val="20"/>
                <w:szCs w:val="20"/>
                <w:u w:val="none"/>
                <w:lang w:val="en-US" w:eastAsia="zh-CN" w:bidi="ar"/>
              </w:rPr>
              <w:t>Ｃ1204物业管理服务</w:t>
            </w:r>
          </w:p>
        </w:tc>
        <w:tc>
          <w:tcPr>
            <w:tcW w:w="247" w:type="pct"/>
            <w:shd w:val="clear" w:color="auto" w:fill="auto"/>
            <w:vAlign w:val="center"/>
          </w:tcPr>
          <w:p>
            <w:pPr>
              <w:spacing w:line="584" w:lineRule="exact"/>
              <w:jc w:val="left"/>
              <w:rPr>
                <w:rFonts w:hint="eastAsia" w:ascii="Times New Roman" w:hAnsi="Times New Roman" w:eastAsia="仿宋_GB2312" w:cs="Times New Roman"/>
                <w:b w:val="0"/>
                <w:bCs/>
                <w:kern w:val="2"/>
                <w:sz w:val="21"/>
                <w:szCs w:val="22"/>
                <w:lang w:val="en-US" w:eastAsia="zh-CN" w:bidi="ar-SA"/>
              </w:rPr>
            </w:pPr>
          </w:p>
        </w:tc>
        <w:tc>
          <w:tcPr>
            <w:tcW w:w="251" w:type="pct"/>
            <w:shd w:val="clear" w:color="auto" w:fill="auto"/>
            <w:vAlign w:val="center"/>
          </w:tcPr>
          <w:p>
            <w:pPr>
              <w:spacing w:line="584" w:lineRule="exact"/>
              <w:jc w:val="right"/>
              <w:rPr>
                <w:rFonts w:hint="eastAsia" w:ascii="Times New Roman" w:hAnsi="Times New Roman" w:eastAsia="仿宋_GB2312" w:cs="Times New Roman"/>
                <w:b w:val="0"/>
                <w:bCs/>
                <w:kern w:val="2"/>
                <w:sz w:val="21"/>
                <w:szCs w:val="22"/>
                <w:lang w:val="en-US" w:eastAsia="zh-CN" w:bidi="ar-SA"/>
              </w:rPr>
            </w:pPr>
            <w:r>
              <w:rPr>
                <w:rFonts w:hint="eastAsia" w:ascii="Times New Roman" w:hAnsi="Times New Roman" w:eastAsia="仿宋_GB2312" w:cs="Times New Roman"/>
                <w:b w:val="0"/>
                <w:bCs/>
                <w:lang w:val="en-US" w:eastAsia="zh-CN"/>
              </w:rPr>
              <w:t>1</w:t>
            </w:r>
          </w:p>
        </w:tc>
        <w:tc>
          <w:tcPr>
            <w:tcW w:w="331" w:type="pct"/>
            <w:shd w:val="clear" w:color="auto" w:fill="auto"/>
            <w:vAlign w:val="center"/>
          </w:tcPr>
          <w:p>
            <w:pPr>
              <w:spacing w:line="584" w:lineRule="exact"/>
              <w:jc w:val="right"/>
              <w:rPr>
                <w:rFonts w:hint="default" w:ascii="Times New Roman" w:hAnsi="Times New Roman" w:eastAsia="仿宋_GB2312" w:cs="Times New Roman"/>
                <w:b w:val="0"/>
                <w:bCs/>
                <w:kern w:val="2"/>
                <w:sz w:val="21"/>
                <w:szCs w:val="22"/>
                <w:lang w:val="en-US" w:eastAsia="zh-CN" w:bidi="ar-SA"/>
              </w:rPr>
            </w:pPr>
            <w:r>
              <w:rPr>
                <w:rFonts w:hint="eastAsia" w:ascii="Times New Roman" w:hAnsi="Times New Roman" w:eastAsia="仿宋_GB2312" w:cs="Times New Roman"/>
                <w:b w:val="0"/>
                <w:bCs/>
                <w:lang w:val="en-US" w:eastAsia="zh-CN"/>
              </w:rPr>
              <w:t>40</w:t>
            </w:r>
          </w:p>
        </w:tc>
        <w:tc>
          <w:tcPr>
            <w:tcW w:w="328" w:type="pct"/>
            <w:shd w:val="clear" w:color="auto" w:fill="auto"/>
            <w:vAlign w:val="center"/>
          </w:tcPr>
          <w:p>
            <w:pPr>
              <w:spacing w:line="584" w:lineRule="exact"/>
              <w:jc w:val="right"/>
              <w:rPr>
                <w:rFonts w:hint="default" w:ascii="Times New Roman" w:hAnsi="Times New Roman" w:eastAsia="仿宋_GB2312" w:cs="Times New Roman"/>
                <w:b w:val="0"/>
                <w:bCs/>
                <w:kern w:val="2"/>
                <w:sz w:val="21"/>
                <w:szCs w:val="22"/>
                <w:lang w:val="en-US" w:eastAsia="zh-CN" w:bidi="ar-SA"/>
              </w:rPr>
            </w:pPr>
            <w:r>
              <w:rPr>
                <w:rFonts w:hint="eastAsia" w:ascii="Times New Roman" w:hAnsi="Times New Roman" w:eastAsia="仿宋_GB2312" w:cs="Times New Roman"/>
                <w:b w:val="0"/>
                <w:bCs/>
                <w:lang w:val="en-US" w:eastAsia="zh-CN"/>
              </w:rPr>
              <w:t>40</w:t>
            </w:r>
          </w:p>
        </w:tc>
        <w:tc>
          <w:tcPr>
            <w:tcW w:w="328" w:type="pct"/>
            <w:shd w:val="clear" w:color="auto" w:fill="auto"/>
            <w:vAlign w:val="center"/>
          </w:tcPr>
          <w:p>
            <w:pPr>
              <w:spacing w:line="584" w:lineRule="exact"/>
              <w:jc w:val="right"/>
              <w:rPr>
                <w:rFonts w:hint="default" w:ascii="Times New Roman" w:hAnsi="Times New Roman" w:eastAsia="仿宋_GB2312" w:cs="Times New Roman"/>
                <w:b w:val="0"/>
                <w:bCs/>
                <w:kern w:val="2"/>
                <w:sz w:val="21"/>
                <w:szCs w:val="22"/>
                <w:lang w:val="en-US" w:eastAsia="zh-CN" w:bidi="ar-SA"/>
              </w:rPr>
            </w:pPr>
            <w:r>
              <w:rPr>
                <w:rFonts w:hint="eastAsia" w:ascii="Times New Roman" w:hAnsi="Times New Roman" w:eastAsia="仿宋_GB2312" w:cs="Times New Roman"/>
                <w:b w:val="0"/>
                <w:bCs/>
                <w:lang w:val="en-US" w:eastAsia="zh-CN"/>
              </w:rPr>
              <w:t>40</w:t>
            </w:r>
          </w:p>
        </w:tc>
        <w:tc>
          <w:tcPr>
            <w:tcW w:w="328" w:type="pct"/>
            <w:shd w:val="clear" w:color="auto" w:fill="auto"/>
            <w:vAlign w:val="center"/>
          </w:tcPr>
          <w:p>
            <w:pPr>
              <w:spacing w:line="584" w:lineRule="exact"/>
              <w:jc w:val="right"/>
              <w:rPr>
                <w:rFonts w:hint="default" w:ascii="Times New Roman" w:hAnsi="Times New Roman" w:eastAsia="仿宋_GB2312" w:cs="Times New Roman"/>
                <w:b w:val="0"/>
                <w:bCs/>
                <w:kern w:val="2"/>
                <w:sz w:val="21"/>
                <w:szCs w:val="22"/>
                <w:lang w:val="en-US" w:eastAsia="zh-CN" w:bidi="ar-SA"/>
              </w:rPr>
            </w:pPr>
            <w:r>
              <w:rPr>
                <w:rFonts w:hint="eastAsia" w:ascii="Times New Roman" w:hAnsi="Times New Roman" w:eastAsia="仿宋_GB2312" w:cs="Times New Roman"/>
                <w:b w:val="0"/>
                <w:bCs/>
                <w:lang w:val="en-US" w:eastAsia="zh-CN"/>
              </w:rPr>
              <w:t>40</w:t>
            </w:r>
          </w:p>
        </w:tc>
        <w:tc>
          <w:tcPr>
            <w:tcW w:w="271" w:type="pct"/>
            <w:shd w:val="clear" w:color="auto" w:fill="auto"/>
            <w:vAlign w:val="center"/>
          </w:tcPr>
          <w:p>
            <w:pPr>
              <w:spacing w:line="584" w:lineRule="exact"/>
              <w:jc w:val="right"/>
              <w:rPr>
                <w:rFonts w:ascii="Times New Roman" w:hAnsi="Times New Roman" w:eastAsia="仿宋_GB2312" w:cs="Times New Roman"/>
                <w:b/>
              </w:rPr>
            </w:pPr>
          </w:p>
        </w:tc>
        <w:tc>
          <w:tcPr>
            <w:tcW w:w="317" w:type="pct"/>
            <w:shd w:val="clear" w:color="auto" w:fill="auto"/>
            <w:vAlign w:val="center"/>
          </w:tcPr>
          <w:p>
            <w:pPr>
              <w:spacing w:line="584" w:lineRule="exact"/>
              <w:jc w:val="right"/>
              <w:rPr>
                <w:rFonts w:ascii="Times New Roman" w:hAnsi="Times New Roman" w:eastAsia="仿宋_GB2312" w:cs="Times New Roman"/>
                <w:b/>
              </w:rPr>
            </w:pPr>
          </w:p>
        </w:tc>
        <w:tc>
          <w:tcPr>
            <w:tcW w:w="318" w:type="pct"/>
            <w:shd w:val="clear" w:color="auto" w:fill="auto"/>
            <w:vAlign w:val="center"/>
          </w:tcPr>
          <w:p>
            <w:pPr>
              <w:spacing w:line="584" w:lineRule="exact"/>
              <w:jc w:val="right"/>
              <w:rPr>
                <w:rFonts w:ascii="Times New Roman" w:hAnsi="Times New Roman" w:eastAsia="仿宋_GB2312" w:cs="Times New Roman"/>
                <w:b/>
              </w:rPr>
            </w:pPr>
          </w:p>
        </w:tc>
        <w:tc>
          <w:tcPr>
            <w:tcW w:w="304" w:type="pct"/>
            <w:shd w:val="clear" w:color="auto" w:fill="auto"/>
            <w:vAlign w:val="center"/>
          </w:tcPr>
          <w:p>
            <w:pPr>
              <w:spacing w:line="584" w:lineRule="exact"/>
              <w:jc w:val="righ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3" w:type="pct"/>
            <w:shd w:val="clear" w:color="auto" w:fill="auto"/>
            <w:vAlign w:val="center"/>
          </w:tcPr>
          <w:p>
            <w:pPr>
              <w:spacing w:line="584" w:lineRule="exact"/>
              <w:jc w:val="center"/>
              <w:rPr>
                <w:rFonts w:hint="eastAsia" w:ascii="Times New Roman" w:hAnsi="Times New Roman" w:eastAsia="仿宋_GB2312" w:cs="Times New Roman"/>
                <w:b w:val="0"/>
                <w:bCs/>
                <w:lang w:eastAsia="zh-CN"/>
              </w:rPr>
            </w:pPr>
            <w:r>
              <w:rPr>
                <w:rFonts w:hint="eastAsia" w:ascii="Times New Roman" w:hAnsi="Times New Roman" w:eastAsia="仿宋_GB2312" w:cs="Times New Roman"/>
                <w:b w:val="0"/>
                <w:bCs/>
                <w:lang w:eastAsia="zh-CN"/>
              </w:rPr>
              <w:t>物业管理费</w:t>
            </w:r>
          </w:p>
        </w:tc>
        <w:tc>
          <w:tcPr>
            <w:tcW w:w="362" w:type="pct"/>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2"/>
                <w:sz w:val="20"/>
                <w:szCs w:val="20"/>
                <w:u w:val="none"/>
                <w:lang w:val="en-US" w:eastAsia="zh-CN" w:bidi="ar-SA"/>
              </w:rPr>
            </w:pPr>
            <w:r>
              <w:rPr>
                <w:rFonts w:hint="eastAsia" w:ascii="仿宋_GB2312" w:hAnsi="仿宋_GB2312" w:eastAsia="仿宋_GB2312" w:cs="仿宋_GB2312"/>
                <w:b w:val="0"/>
                <w:bCs/>
                <w:i w:val="0"/>
                <w:color w:val="000000"/>
                <w:kern w:val="2"/>
                <w:sz w:val="20"/>
                <w:szCs w:val="20"/>
                <w:u w:val="none"/>
                <w:lang w:val="en-US" w:eastAsia="zh-CN" w:bidi="ar-SA"/>
              </w:rPr>
              <w:t>一般预算资金</w:t>
            </w:r>
          </w:p>
        </w:tc>
        <w:tc>
          <w:tcPr>
            <w:tcW w:w="318" w:type="pct"/>
            <w:shd w:val="clear" w:color="auto" w:fill="auto"/>
            <w:vAlign w:val="center"/>
          </w:tcPr>
          <w:p>
            <w:pPr>
              <w:spacing w:line="584" w:lineRule="exact"/>
              <w:jc w:val="left"/>
              <w:rPr>
                <w:rFonts w:hint="eastAsia" w:ascii="Times New Roman" w:hAnsi="Times New Roman" w:eastAsia="仿宋_GB2312" w:cs="Times New Roman"/>
                <w:b w:val="0"/>
                <w:bCs/>
                <w:lang w:eastAsia="zh-CN"/>
              </w:rPr>
            </w:pPr>
            <w:r>
              <w:rPr>
                <w:rFonts w:hint="eastAsia" w:ascii="Times New Roman" w:hAnsi="Times New Roman" w:eastAsia="仿宋_GB2312" w:cs="Times New Roman"/>
                <w:b w:val="0"/>
                <w:bCs/>
                <w:lang w:eastAsia="zh-CN"/>
              </w:rPr>
              <w:t>物业管理费</w:t>
            </w:r>
          </w:p>
        </w:tc>
        <w:tc>
          <w:tcPr>
            <w:tcW w:w="468" w:type="pct"/>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i w:val="0"/>
                <w:color w:val="000000"/>
                <w:kern w:val="2"/>
                <w:sz w:val="20"/>
                <w:szCs w:val="20"/>
                <w:u w:val="none"/>
                <w:lang w:val="en-US" w:eastAsia="zh-CN" w:bidi="ar-SA"/>
              </w:rPr>
            </w:pPr>
            <w:r>
              <w:rPr>
                <w:rFonts w:hint="eastAsia" w:ascii="仿宋_GB2312" w:hAnsi="仿宋_GB2312" w:eastAsia="仿宋_GB2312" w:cs="仿宋_GB2312"/>
                <w:b w:val="0"/>
                <w:bCs/>
                <w:i w:val="0"/>
                <w:color w:val="000000"/>
                <w:kern w:val="0"/>
                <w:sz w:val="20"/>
                <w:szCs w:val="20"/>
                <w:u w:val="none"/>
                <w:lang w:val="en-US" w:eastAsia="zh-CN" w:bidi="ar"/>
              </w:rPr>
              <w:t>Ｃ1204物业管理服务</w:t>
            </w:r>
          </w:p>
        </w:tc>
        <w:tc>
          <w:tcPr>
            <w:tcW w:w="247" w:type="pct"/>
            <w:shd w:val="clear" w:color="auto" w:fill="auto"/>
            <w:vAlign w:val="center"/>
          </w:tcPr>
          <w:p>
            <w:pPr>
              <w:spacing w:line="584" w:lineRule="exact"/>
              <w:jc w:val="left"/>
              <w:rPr>
                <w:rFonts w:hint="eastAsia" w:ascii="Times New Roman" w:hAnsi="Times New Roman" w:eastAsia="仿宋_GB2312" w:cs="Times New Roman"/>
                <w:b w:val="0"/>
                <w:bCs/>
                <w:lang w:val="en-US" w:eastAsia="zh-CN"/>
              </w:rPr>
            </w:pPr>
          </w:p>
        </w:tc>
        <w:tc>
          <w:tcPr>
            <w:tcW w:w="251" w:type="pct"/>
            <w:shd w:val="clear" w:color="auto" w:fill="auto"/>
            <w:vAlign w:val="center"/>
          </w:tcPr>
          <w:p>
            <w:pPr>
              <w:spacing w:line="584" w:lineRule="exact"/>
              <w:jc w:val="right"/>
              <w:rPr>
                <w:rFonts w:hint="eastAsia" w:ascii="Times New Roman" w:hAnsi="Times New Roman" w:eastAsia="仿宋_GB2312" w:cs="Times New Roman"/>
                <w:b w:val="0"/>
                <w:bCs/>
                <w:lang w:val="en-US" w:eastAsia="zh-CN"/>
              </w:rPr>
            </w:pPr>
            <w:r>
              <w:rPr>
                <w:rFonts w:hint="eastAsia" w:ascii="Times New Roman" w:hAnsi="Times New Roman" w:eastAsia="仿宋_GB2312" w:cs="Times New Roman"/>
                <w:b w:val="0"/>
                <w:bCs/>
                <w:lang w:val="en-US" w:eastAsia="zh-CN"/>
              </w:rPr>
              <w:t>1</w:t>
            </w:r>
          </w:p>
        </w:tc>
        <w:tc>
          <w:tcPr>
            <w:tcW w:w="331" w:type="pct"/>
            <w:shd w:val="clear" w:color="auto" w:fill="auto"/>
            <w:vAlign w:val="center"/>
          </w:tcPr>
          <w:p>
            <w:pPr>
              <w:spacing w:line="584" w:lineRule="exact"/>
              <w:jc w:val="right"/>
              <w:rPr>
                <w:rFonts w:hint="default" w:ascii="Times New Roman" w:hAnsi="Times New Roman" w:eastAsia="仿宋_GB2312" w:cs="Times New Roman"/>
                <w:b w:val="0"/>
                <w:bCs/>
                <w:lang w:val="en-US" w:eastAsia="zh-CN"/>
              </w:rPr>
            </w:pPr>
            <w:r>
              <w:rPr>
                <w:rFonts w:hint="eastAsia" w:ascii="Times New Roman" w:hAnsi="Times New Roman" w:eastAsia="仿宋_GB2312" w:cs="Times New Roman"/>
                <w:b w:val="0"/>
                <w:bCs/>
                <w:lang w:val="en-US" w:eastAsia="zh-CN"/>
              </w:rPr>
              <w:t>40</w:t>
            </w:r>
          </w:p>
        </w:tc>
        <w:tc>
          <w:tcPr>
            <w:tcW w:w="328" w:type="pct"/>
            <w:shd w:val="clear" w:color="auto" w:fill="auto"/>
            <w:vAlign w:val="center"/>
          </w:tcPr>
          <w:p>
            <w:pPr>
              <w:spacing w:line="584" w:lineRule="exact"/>
              <w:jc w:val="right"/>
              <w:rPr>
                <w:rFonts w:hint="default" w:ascii="Times New Roman" w:hAnsi="Times New Roman" w:eastAsia="仿宋_GB2312" w:cs="Times New Roman"/>
                <w:b w:val="0"/>
                <w:bCs/>
                <w:lang w:val="en-US" w:eastAsia="zh-CN"/>
              </w:rPr>
            </w:pPr>
            <w:r>
              <w:rPr>
                <w:rFonts w:hint="eastAsia" w:ascii="Times New Roman" w:hAnsi="Times New Roman" w:eastAsia="仿宋_GB2312" w:cs="Times New Roman"/>
                <w:b w:val="0"/>
                <w:bCs/>
                <w:lang w:val="en-US" w:eastAsia="zh-CN"/>
              </w:rPr>
              <w:t>40</w:t>
            </w:r>
          </w:p>
        </w:tc>
        <w:tc>
          <w:tcPr>
            <w:tcW w:w="328" w:type="pct"/>
            <w:shd w:val="clear" w:color="auto" w:fill="auto"/>
            <w:vAlign w:val="center"/>
          </w:tcPr>
          <w:p>
            <w:pPr>
              <w:spacing w:line="584" w:lineRule="exact"/>
              <w:jc w:val="right"/>
              <w:rPr>
                <w:rFonts w:hint="default" w:ascii="Times New Roman" w:hAnsi="Times New Roman" w:eastAsia="仿宋_GB2312" w:cs="Times New Roman"/>
                <w:b w:val="0"/>
                <w:bCs/>
                <w:lang w:val="en-US" w:eastAsia="zh-CN"/>
              </w:rPr>
            </w:pPr>
            <w:r>
              <w:rPr>
                <w:rFonts w:hint="eastAsia" w:ascii="Times New Roman" w:hAnsi="Times New Roman" w:eastAsia="仿宋_GB2312" w:cs="Times New Roman"/>
                <w:b w:val="0"/>
                <w:bCs/>
                <w:lang w:val="en-US" w:eastAsia="zh-CN"/>
              </w:rPr>
              <w:t>40</w:t>
            </w:r>
          </w:p>
        </w:tc>
        <w:tc>
          <w:tcPr>
            <w:tcW w:w="328" w:type="pct"/>
            <w:shd w:val="clear" w:color="auto" w:fill="auto"/>
            <w:vAlign w:val="center"/>
          </w:tcPr>
          <w:p>
            <w:pPr>
              <w:spacing w:line="584" w:lineRule="exact"/>
              <w:jc w:val="right"/>
              <w:rPr>
                <w:rFonts w:hint="default" w:ascii="Times New Roman" w:hAnsi="Times New Roman" w:eastAsia="仿宋_GB2312" w:cs="Times New Roman"/>
                <w:b w:val="0"/>
                <w:bCs/>
                <w:lang w:val="en-US" w:eastAsia="zh-CN"/>
              </w:rPr>
            </w:pPr>
            <w:r>
              <w:rPr>
                <w:rFonts w:hint="eastAsia" w:ascii="Times New Roman" w:hAnsi="Times New Roman" w:eastAsia="仿宋_GB2312" w:cs="Times New Roman"/>
                <w:b w:val="0"/>
                <w:bCs/>
                <w:lang w:val="en-US" w:eastAsia="zh-CN"/>
              </w:rPr>
              <w:t>40</w:t>
            </w:r>
          </w:p>
        </w:tc>
        <w:tc>
          <w:tcPr>
            <w:tcW w:w="271" w:type="pct"/>
            <w:shd w:val="clear" w:color="auto" w:fill="auto"/>
            <w:vAlign w:val="center"/>
          </w:tcPr>
          <w:p>
            <w:pPr>
              <w:spacing w:line="584" w:lineRule="exact"/>
              <w:jc w:val="right"/>
              <w:rPr>
                <w:rFonts w:ascii="Times New Roman" w:hAnsi="Times New Roman" w:eastAsia="仿宋_GB2312" w:cs="Times New Roman"/>
                <w:b/>
              </w:rPr>
            </w:pPr>
          </w:p>
        </w:tc>
        <w:tc>
          <w:tcPr>
            <w:tcW w:w="317" w:type="pct"/>
            <w:shd w:val="clear" w:color="auto" w:fill="auto"/>
            <w:vAlign w:val="center"/>
          </w:tcPr>
          <w:p>
            <w:pPr>
              <w:spacing w:line="584" w:lineRule="exact"/>
              <w:jc w:val="right"/>
              <w:rPr>
                <w:rFonts w:ascii="Times New Roman" w:hAnsi="Times New Roman" w:eastAsia="仿宋_GB2312" w:cs="Times New Roman"/>
                <w:b/>
              </w:rPr>
            </w:pPr>
          </w:p>
        </w:tc>
        <w:tc>
          <w:tcPr>
            <w:tcW w:w="318" w:type="pct"/>
            <w:shd w:val="clear" w:color="auto" w:fill="auto"/>
            <w:vAlign w:val="center"/>
          </w:tcPr>
          <w:p>
            <w:pPr>
              <w:spacing w:line="584" w:lineRule="exact"/>
              <w:jc w:val="right"/>
              <w:rPr>
                <w:rFonts w:ascii="Times New Roman" w:hAnsi="Times New Roman" w:eastAsia="仿宋_GB2312" w:cs="Times New Roman"/>
                <w:b/>
              </w:rPr>
            </w:pPr>
          </w:p>
        </w:tc>
        <w:tc>
          <w:tcPr>
            <w:tcW w:w="304" w:type="pct"/>
            <w:shd w:val="clear" w:color="auto" w:fill="auto"/>
            <w:vAlign w:val="center"/>
          </w:tcPr>
          <w:p>
            <w:pPr>
              <w:spacing w:line="584" w:lineRule="exact"/>
              <w:jc w:val="righ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3" w:type="pct"/>
            <w:shd w:val="clear" w:color="auto" w:fill="auto"/>
            <w:vAlign w:val="center"/>
          </w:tcPr>
          <w:p>
            <w:pPr>
              <w:spacing w:line="584" w:lineRule="exact"/>
              <w:jc w:val="left"/>
              <w:rPr>
                <w:rFonts w:ascii="Times New Roman" w:hAnsi="Times New Roman" w:eastAsia="仿宋_GB2312" w:cs="Times New Roman"/>
              </w:rPr>
            </w:pPr>
          </w:p>
        </w:tc>
        <w:tc>
          <w:tcPr>
            <w:tcW w:w="362" w:type="pct"/>
            <w:shd w:val="clear" w:color="auto" w:fill="auto"/>
            <w:vAlign w:val="center"/>
          </w:tcPr>
          <w:p>
            <w:pPr>
              <w:spacing w:line="584" w:lineRule="exact"/>
              <w:jc w:val="right"/>
              <w:rPr>
                <w:rFonts w:ascii="Times New Roman" w:hAnsi="Times New Roman" w:eastAsia="仿宋_GB2312" w:cs="Times New Roman"/>
              </w:rPr>
            </w:pPr>
          </w:p>
        </w:tc>
        <w:tc>
          <w:tcPr>
            <w:tcW w:w="318" w:type="pct"/>
            <w:shd w:val="clear" w:color="auto" w:fill="auto"/>
            <w:vAlign w:val="center"/>
          </w:tcPr>
          <w:p>
            <w:pPr>
              <w:spacing w:line="584" w:lineRule="exact"/>
              <w:jc w:val="left"/>
              <w:rPr>
                <w:rFonts w:ascii="Times New Roman" w:hAnsi="Times New Roman" w:eastAsia="仿宋_GB2312" w:cs="Times New Roman"/>
              </w:rPr>
            </w:pPr>
          </w:p>
        </w:tc>
        <w:tc>
          <w:tcPr>
            <w:tcW w:w="468" w:type="pct"/>
            <w:shd w:val="clear" w:color="auto" w:fill="auto"/>
            <w:vAlign w:val="center"/>
          </w:tcPr>
          <w:p>
            <w:pPr>
              <w:spacing w:line="584" w:lineRule="exact"/>
              <w:jc w:val="left"/>
              <w:rPr>
                <w:rFonts w:ascii="Times New Roman" w:hAnsi="Times New Roman" w:eastAsia="仿宋_GB2312" w:cs="Times New Roman"/>
              </w:rPr>
            </w:pPr>
          </w:p>
        </w:tc>
        <w:tc>
          <w:tcPr>
            <w:tcW w:w="247" w:type="pct"/>
            <w:shd w:val="clear" w:color="auto" w:fill="auto"/>
            <w:vAlign w:val="center"/>
          </w:tcPr>
          <w:p>
            <w:pPr>
              <w:spacing w:line="584" w:lineRule="exact"/>
              <w:jc w:val="left"/>
              <w:rPr>
                <w:rFonts w:ascii="Times New Roman" w:hAnsi="Times New Roman" w:eastAsia="仿宋_GB2312" w:cs="Times New Roman"/>
              </w:rPr>
            </w:pPr>
          </w:p>
        </w:tc>
        <w:tc>
          <w:tcPr>
            <w:tcW w:w="251" w:type="pct"/>
            <w:shd w:val="clear" w:color="auto" w:fill="auto"/>
            <w:vAlign w:val="center"/>
          </w:tcPr>
          <w:p>
            <w:pPr>
              <w:spacing w:line="584" w:lineRule="exact"/>
              <w:jc w:val="right"/>
              <w:rPr>
                <w:rFonts w:ascii="Times New Roman" w:hAnsi="Times New Roman" w:eastAsia="仿宋_GB2312" w:cs="Times New Roman"/>
              </w:rPr>
            </w:pPr>
          </w:p>
        </w:tc>
        <w:tc>
          <w:tcPr>
            <w:tcW w:w="331"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271" w:type="pct"/>
            <w:shd w:val="clear" w:color="auto" w:fill="auto"/>
            <w:vAlign w:val="center"/>
          </w:tcPr>
          <w:p>
            <w:pPr>
              <w:spacing w:line="584" w:lineRule="exact"/>
              <w:jc w:val="right"/>
              <w:rPr>
                <w:rFonts w:ascii="Times New Roman" w:hAnsi="Times New Roman" w:eastAsia="仿宋_GB2312" w:cs="Times New Roman"/>
              </w:rPr>
            </w:pPr>
          </w:p>
        </w:tc>
        <w:tc>
          <w:tcPr>
            <w:tcW w:w="317" w:type="pct"/>
            <w:shd w:val="clear" w:color="auto" w:fill="auto"/>
            <w:vAlign w:val="center"/>
          </w:tcPr>
          <w:p>
            <w:pPr>
              <w:spacing w:line="584" w:lineRule="exact"/>
              <w:jc w:val="right"/>
              <w:rPr>
                <w:rFonts w:ascii="Times New Roman" w:hAnsi="Times New Roman" w:eastAsia="仿宋_GB2312" w:cs="Times New Roman"/>
              </w:rPr>
            </w:pPr>
          </w:p>
        </w:tc>
        <w:tc>
          <w:tcPr>
            <w:tcW w:w="318" w:type="pct"/>
            <w:shd w:val="clear" w:color="auto" w:fill="auto"/>
            <w:vAlign w:val="center"/>
          </w:tcPr>
          <w:p>
            <w:pPr>
              <w:spacing w:line="584" w:lineRule="exact"/>
              <w:jc w:val="right"/>
              <w:rPr>
                <w:rFonts w:ascii="Times New Roman" w:hAnsi="Times New Roman" w:eastAsia="仿宋_GB2312" w:cs="Times New Roman"/>
              </w:rPr>
            </w:pPr>
          </w:p>
        </w:tc>
        <w:tc>
          <w:tcPr>
            <w:tcW w:w="304" w:type="pct"/>
            <w:shd w:val="clear" w:color="auto" w:fill="auto"/>
            <w:vAlign w:val="center"/>
          </w:tcPr>
          <w:p>
            <w:pPr>
              <w:spacing w:line="584" w:lineRule="exact"/>
              <w:jc w:val="right"/>
              <w:rPr>
                <w:rFonts w:ascii="Times New Roman" w:hAnsi="Times New Roman" w:eastAsia="仿宋_GB2312" w:cs="Times New Roman"/>
              </w:rPr>
            </w:pPr>
          </w:p>
        </w:tc>
      </w:tr>
    </w:tbl>
    <w:p>
      <w:pPr>
        <w:spacing w:line="584" w:lineRule="exact"/>
        <w:jc w:val="left"/>
        <w:outlineLvl w:val="0"/>
        <w:rPr>
          <w:rFonts w:ascii="Times New Roman" w:hAnsi="Times New Roman" w:eastAsia="仿宋_GB2312" w:cs="Times New Roman"/>
        </w:rPr>
        <w:sectPr>
          <w:footerReference r:id="rId3" w:type="default"/>
          <w:pgSz w:w="16839" w:h="11907" w:orient="landscape"/>
          <w:pgMar w:top="1361" w:right="1020" w:bottom="1361" w:left="1020" w:header="851" w:footer="992" w:gutter="0"/>
          <w:cols w:space="425" w:num="1"/>
          <w:docGrid w:type="lines" w:linePitch="312" w:charSpace="0"/>
        </w:sect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七、国有资产信息</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永清县</w:t>
      </w:r>
      <w:r>
        <w:rPr>
          <w:rFonts w:hint="eastAsia" w:ascii="Times New Roman" w:hAnsi="Times New Roman" w:eastAsia="仿宋_GB2312" w:cs="Times New Roman"/>
          <w:sz w:val="32"/>
          <w:szCs w:val="32"/>
          <w:lang w:eastAsia="zh-CN"/>
        </w:rPr>
        <w:t>人民代表大会常务委员会</w:t>
      </w:r>
      <w:r>
        <w:rPr>
          <w:rFonts w:ascii="Times New Roman" w:hAnsi="Times New Roman" w:eastAsia="仿宋_GB2312" w:cs="Times New Roman"/>
          <w:sz w:val="32"/>
          <w:szCs w:val="32"/>
        </w:rPr>
        <w:t>（含所属单位）上年末固定资产金额为</w:t>
      </w:r>
      <w:r>
        <w:rPr>
          <w:rFonts w:hint="eastAsia" w:ascii="仿宋_GB2312" w:hAnsi="黑体" w:eastAsia="仿宋_GB2312" w:cs="Times New Roman"/>
          <w:sz w:val="32"/>
          <w:szCs w:val="32"/>
          <w:lang w:val="en-US" w:eastAsia="zh-CN"/>
        </w:rPr>
        <w:t>516.12</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详见下表</w:t>
      </w:r>
      <w:r>
        <w:rPr>
          <w:rFonts w:ascii="Times New Roman" w:hAnsi="Times New Roman" w:eastAsia="仿宋_GB2312" w:cs="Times New Roman"/>
          <w:sz w:val="32"/>
          <w:szCs w:val="32"/>
        </w:rPr>
        <w:t>。本年度我部门拟购置固定资产</w:t>
      </w:r>
      <w:r>
        <w:rPr>
          <w:rFonts w:hint="eastAsia" w:ascii="Times New Roman" w:hAnsi="Times New Roman" w:eastAsia="仿宋_GB2312" w:cs="Times New Roman"/>
          <w:sz w:val="32"/>
          <w:szCs w:val="32"/>
        </w:rPr>
        <w:t>共计</w:t>
      </w:r>
      <w:r>
        <w:rPr>
          <w:rFonts w:hint="eastAsia" w:ascii="Times New Roman" w:hAnsi="Times New Roman" w:eastAsia="仿宋_GB2312" w:cs="Times New Roman"/>
          <w:sz w:val="32"/>
          <w:szCs w:val="32"/>
          <w:lang w:val="en-US" w:eastAsia="zh-CN"/>
        </w:rPr>
        <w:t>0</w:t>
      </w:r>
      <w:r>
        <w:rPr>
          <w:rFonts w:hint="eastAsia" w:ascii="Times New Roman" w:hAnsi="Times New Roman" w:eastAsia="仿宋_GB2312" w:cs="Times New Roman"/>
          <w:sz w:val="32"/>
          <w:szCs w:val="32"/>
        </w:rPr>
        <w:t>万元</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sz w:val="32"/>
          <w:szCs w:val="32"/>
        </w:rPr>
      </w:pPr>
    </w:p>
    <w:tbl>
      <w:tblPr>
        <w:tblStyle w:val="9"/>
        <w:tblW w:w="13482" w:type="dxa"/>
        <w:tblInd w:w="93" w:type="dxa"/>
        <w:tblLayout w:type="autofit"/>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永清县</w:t>
            </w:r>
            <w:r>
              <w:rPr>
                <w:rFonts w:hint="eastAsia" w:ascii="Times New Roman" w:hAnsi="Times New Roman" w:eastAsia="仿宋_GB2312" w:cs="Times New Roman"/>
                <w:b/>
                <w:bCs/>
                <w:kern w:val="0"/>
                <w:sz w:val="32"/>
                <w:szCs w:val="32"/>
              </w:rPr>
              <w:t>县</w:t>
            </w:r>
            <w:r>
              <w:rPr>
                <w:rFonts w:ascii="Times New Roman" w:hAnsi="Times New Roman" w:eastAsia="仿宋_GB2312" w:cs="Times New Roman"/>
                <w:b/>
                <w:bCs/>
                <w:kern w:val="0"/>
                <w:sz w:val="32"/>
                <w:szCs w:val="32"/>
              </w:rPr>
              <w:t>直部门固定资产占用情况表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编制部门：永清县</w:t>
            </w:r>
            <w:r>
              <w:rPr>
                <w:rFonts w:ascii="Times New Roman" w:hAnsi="Times New Roman" w:eastAsia="仿宋_GB2312" w:cs="Times New Roman"/>
                <w:color w:val="FF0000"/>
                <w:kern w:val="0"/>
                <w:sz w:val="22"/>
              </w:rPr>
              <w:t>。。。</w:t>
            </w:r>
          </w:p>
        </w:tc>
        <w:tc>
          <w:tcPr>
            <w:tcW w:w="5103" w:type="dxa"/>
            <w:tcBorders>
              <w:top w:val="nil"/>
              <w:left w:val="nil"/>
              <w:bottom w:val="nil"/>
              <w:right w:val="nil"/>
            </w:tcBorders>
            <w:shd w:val="clear" w:color="auto" w:fill="auto"/>
            <w:noWrap/>
            <w:vAlign w:val="center"/>
          </w:tcPr>
          <w:p>
            <w:pPr>
              <w:widowControl/>
              <w:spacing w:line="584" w:lineRule="exact"/>
              <w:jc w:val="righ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lang w:val="en-US" w:eastAsia="zh-CN"/>
              </w:rPr>
              <w:t>20</w:t>
            </w:r>
            <w:r>
              <w:rPr>
                <w:rFonts w:ascii="Times New Roman" w:hAnsi="Times New Roman" w:eastAsia="仿宋_GB2312" w:cs="Times New Roman"/>
                <w:kern w:val="0"/>
                <w:sz w:val="22"/>
              </w:rPr>
              <w:t>年12月31日</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2"/>
                <w:szCs w:val="22"/>
                <w:lang w:val="en-US" w:eastAsia="zh-CN" w:bidi="ar-SA"/>
              </w:rPr>
            </w:pPr>
            <w:r>
              <w:rPr>
                <w:rFonts w:hint="eastAsia" w:ascii="宋体" w:hAnsi="宋体" w:cs="宋体"/>
                <w:kern w:val="0"/>
                <w:sz w:val="22"/>
                <w:lang w:val="en-US" w:eastAsia="zh-CN"/>
              </w:rPr>
              <w:t>516.12</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lang w:val="en-US" w:eastAsia="zh-CN" w:bidi="ar-SA"/>
              </w:rPr>
            </w:pPr>
            <w:r>
              <w:rPr>
                <w:rFonts w:ascii="宋体" w:hAnsi="宋体" w:cs="宋体"/>
                <w:kern w:val="0"/>
                <w:sz w:val="22"/>
              </w:rPr>
              <w:t>1782</w:t>
            </w:r>
          </w:p>
        </w:tc>
        <w:tc>
          <w:tcPr>
            <w:tcW w:w="510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lang w:val="en-US" w:eastAsia="zh-CN" w:bidi="ar-SA"/>
              </w:rPr>
            </w:pPr>
            <w:r>
              <w:rPr>
                <w:rFonts w:ascii="宋体" w:hAnsi="宋体" w:cs="宋体"/>
                <w:kern w:val="0"/>
                <w:sz w:val="22"/>
              </w:rPr>
              <w:t>236.46</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lang w:val="en-US" w:eastAsia="zh-CN" w:bidi="ar-SA"/>
              </w:rPr>
            </w:pPr>
            <w:r>
              <w:rPr>
                <w:rFonts w:ascii="宋体" w:hAnsi="宋体" w:cs="宋体"/>
                <w:kern w:val="0"/>
                <w:sz w:val="22"/>
              </w:rPr>
              <w:t>1782</w:t>
            </w:r>
          </w:p>
        </w:tc>
        <w:tc>
          <w:tcPr>
            <w:tcW w:w="510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lang w:val="en-US" w:eastAsia="zh-CN" w:bidi="ar-SA"/>
              </w:rPr>
            </w:pPr>
            <w:r>
              <w:rPr>
                <w:rFonts w:ascii="宋体" w:hAnsi="宋体" w:cs="宋体"/>
                <w:kern w:val="0"/>
                <w:sz w:val="22"/>
              </w:rPr>
              <w:t>236.46</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lang w:val="en-US" w:eastAsia="zh-CN" w:bidi="ar-SA"/>
              </w:rPr>
            </w:pPr>
            <w:r>
              <w:rPr>
                <w:rFonts w:ascii="宋体" w:hAnsi="宋体" w:cs="宋体"/>
                <w:kern w:val="0"/>
                <w:sz w:val="22"/>
              </w:rPr>
              <w:t>5</w:t>
            </w:r>
          </w:p>
        </w:tc>
        <w:tc>
          <w:tcPr>
            <w:tcW w:w="510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lang w:val="en-US" w:eastAsia="zh-CN" w:bidi="ar-SA"/>
              </w:rPr>
            </w:pPr>
            <w:r>
              <w:rPr>
                <w:rFonts w:ascii="宋体" w:hAnsi="宋体" w:cs="宋体"/>
                <w:kern w:val="0"/>
                <w:sz w:val="22"/>
              </w:rPr>
              <w:t>148.6</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lang w:val="en-US" w:eastAsia="zh-CN" w:bidi="ar-SA"/>
              </w:rPr>
            </w:pPr>
          </w:p>
        </w:tc>
        <w:tc>
          <w:tcPr>
            <w:tcW w:w="510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lang w:val="en-US" w:eastAsia="zh-CN" w:bidi="ar-SA"/>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2"/>
                <w:szCs w:val="22"/>
                <w:lang w:val="en-US" w:eastAsia="zh-CN" w:bidi="ar-SA"/>
              </w:rPr>
            </w:pPr>
            <w:r>
              <w:rPr>
                <w:rFonts w:hint="eastAsia" w:ascii="宋体" w:hAnsi="宋体" w:eastAsia="宋体" w:cs="宋体"/>
                <w:kern w:val="0"/>
                <w:sz w:val="22"/>
                <w:lang w:val="en-US" w:eastAsia="zh-CN"/>
              </w:rPr>
              <w:t>30</w:t>
            </w:r>
            <w:r>
              <w:rPr>
                <w:rFonts w:hint="eastAsia" w:ascii="宋体" w:hAnsi="宋体" w:cs="宋体"/>
                <w:kern w:val="0"/>
                <w:sz w:val="22"/>
                <w:lang w:val="en-US" w:eastAsia="zh-CN"/>
              </w:rPr>
              <w:t>7</w:t>
            </w:r>
          </w:p>
        </w:tc>
        <w:tc>
          <w:tcPr>
            <w:tcW w:w="5103"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kern w:val="0"/>
                <w:sz w:val="22"/>
                <w:szCs w:val="22"/>
                <w:lang w:val="en-US" w:eastAsia="zh-CN" w:bidi="ar-SA"/>
              </w:rPr>
            </w:pPr>
            <w:r>
              <w:rPr>
                <w:rFonts w:hint="eastAsia" w:ascii="宋体" w:hAnsi="宋体" w:cs="宋体"/>
                <w:kern w:val="0"/>
                <w:sz w:val="22"/>
                <w:lang w:val="en-US" w:eastAsia="zh-CN"/>
              </w:rPr>
              <w:t>131.06</w:t>
            </w:r>
          </w:p>
        </w:tc>
      </w:tr>
    </w:tbl>
    <w:p>
      <w:pPr>
        <w:autoSpaceDE w:val="0"/>
        <w:autoSpaceDN w:val="0"/>
        <w:adjustRightInd w:val="0"/>
        <w:spacing w:line="584" w:lineRule="exact"/>
        <w:ind w:left="198" w:firstLine="640" w:firstLineChars="200"/>
        <w:jc w:val="left"/>
        <w:rPr>
          <w:rFonts w:ascii="Times New Roman" w:hAnsi="Times New Roman" w:eastAsia="仿宋_GB2312"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八、名词解释</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指省级财政当年拨付的资金。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pPr>
        <w:tabs>
          <w:tab w:val="left" w:pos="11490"/>
        </w:tabs>
        <w:spacing w:line="584"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省级财政预算管理的“三公”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九、其他需要说明的事项</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我部门无其他需要说明的事项。</w:t>
      </w:r>
    </w:p>
    <w:p>
      <w:pPr>
        <w:spacing w:line="584" w:lineRule="exact"/>
        <w:ind w:firstLine="640" w:firstLineChars="200"/>
        <w:rPr>
          <w:rFonts w:ascii="Times New Roman" w:hAnsi="Times New Roman" w:eastAsia="仿宋_GB2312" w:cs="Times New Roman"/>
          <w:sz w:val="32"/>
          <w:szCs w:val="32"/>
        </w:rPr>
      </w:pPr>
    </w:p>
    <w:p>
      <w:pPr>
        <w:spacing w:line="584" w:lineRule="exact"/>
        <w:rPr>
          <w:rFonts w:ascii="Times New Roman" w:hAnsi="Times New Roman" w:eastAsia="仿宋_GB2312" w:cs="Times New Roman"/>
          <w:sz w:val="32"/>
          <w:szCs w:val="32"/>
        </w:rPr>
      </w:pPr>
    </w:p>
    <w:p>
      <w:pPr>
        <w:spacing w:line="584" w:lineRule="exact"/>
        <w:ind w:firstLine="643" w:firstLineChars="200"/>
        <w:rPr>
          <w:rFonts w:ascii="Times New Roman" w:hAnsi="Times New Roman" w:eastAsia="仿宋_GB2312" w:cs="Times New Roman"/>
          <w:b/>
          <w:color w:val="FF0000"/>
          <w:sz w:val="32"/>
          <w:szCs w:val="32"/>
        </w:rPr>
      </w:pPr>
    </w:p>
    <w:sectPr>
      <w:pgSz w:w="16838" w:h="11906" w:orient="landscape"/>
      <w:pgMar w:top="1800" w:right="1440" w:bottom="1800"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_GBK">
    <w:altName w:val="Times New Roman"/>
    <w:panose1 w:val="00000000000000000000"/>
    <w:charset w:val="00"/>
    <w:family w:val="auto"/>
    <w:pitch w:val="default"/>
    <w:sig w:usb0="00000000" w:usb1="00000000" w:usb2="00000000" w:usb3="00000000" w:csb0="00000001" w:csb1="00000000"/>
  </w:font>
  <w:font w:name="方正小标宋_GBK">
    <w:altName w:val="微软雅黑"/>
    <w:panose1 w:val="00000000000000000000"/>
    <w:charset w:val="86"/>
    <w:family w:val="script"/>
    <w:pitch w:val="default"/>
    <w:sig w:usb0="00000000" w:usb1="00000000" w:usb2="00000010" w:usb3="00000000" w:csb0="00040000" w:csb1="00000000"/>
  </w:font>
  <w:font w:name="方正书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4349198"/>
      <w:docPartObj>
        <w:docPartGallery w:val="autotext"/>
      </w:docPartObj>
    </w:sdtPr>
    <w:sdtContent>
      <w:p>
        <w:pPr>
          <w:pStyle w:val="4"/>
          <w:jc w:val="center"/>
        </w:pPr>
        <w:r>
          <w:rPr>
            <w:rFonts w:hint="eastAsia"/>
          </w:rPr>
          <w:t>-</w:t>
        </w:r>
        <w:r>
          <w:fldChar w:fldCharType="begin"/>
        </w:r>
        <w:r>
          <w:instrText xml:space="preserve">PAGE   \* MERGEFORMAT</w:instrText>
        </w:r>
        <w:r>
          <w:fldChar w:fldCharType="separate"/>
        </w:r>
        <w:r>
          <w:rPr>
            <w:lang w:val="zh-CN"/>
          </w:rPr>
          <w:t>3</w:t>
        </w:r>
        <w:r>
          <w:rPr>
            <w:lang w:val="zh-CN"/>
          </w:rPr>
          <w:fldChar w:fldCharType="end"/>
        </w:r>
        <w:r>
          <w:rPr>
            <w:rFonts w:hint="eastAsia"/>
          </w:rPr>
          <w:t>-</w:t>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F86B8"/>
    <w:multiLevelType w:val="singleLevel"/>
    <w:tmpl w:val="09FF86B8"/>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F66032"/>
    <w:rsid w:val="000052A5"/>
    <w:rsid w:val="000053CC"/>
    <w:rsid w:val="00010564"/>
    <w:rsid w:val="0001168A"/>
    <w:rsid w:val="000225BC"/>
    <w:rsid w:val="00037AF6"/>
    <w:rsid w:val="000410F2"/>
    <w:rsid w:val="0004565F"/>
    <w:rsid w:val="00071F08"/>
    <w:rsid w:val="00072187"/>
    <w:rsid w:val="00075D5F"/>
    <w:rsid w:val="00077F55"/>
    <w:rsid w:val="0008180F"/>
    <w:rsid w:val="00093ACB"/>
    <w:rsid w:val="00093DA3"/>
    <w:rsid w:val="000A125B"/>
    <w:rsid w:val="000A5AE7"/>
    <w:rsid w:val="000B529B"/>
    <w:rsid w:val="000C24E6"/>
    <w:rsid w:val="000C3A19"/>
    <w:rsid w:val="000E4305"/>
    <w:rsid w:val="000F0D09"/>
    <w:rsid w:val="00121848"/>
    <w:rsid w:val="001245BB"/>
    <w:rsid w:val="001251A3"/>
    <w:rsid w:val="0015229A"/>
    <w:rsid w:val="00160266"/>
    <w:rsid w:val="001643E8"/>
    <w:rsid w:val="00176C13"/>
    <w:rsid w:val="001919C4"/>
    <w:rsid w:val="0019723B"/>
    <w:rsid w:val="001A0943"/>
    <w:rsid w:val="001B5C1D"/>
    <w:rsid w:val="001C510F"/>
    <w:rsid w:val="001E0757"/>
    <w:rsid w:val="001E6DDC"/>
    <w:rsid w:val="001E70E9"/>
    <w:rsid w:val="001F5C92"/>
    <w:rsid w:val="001F7873"/>
    <w:rsid w:val="00212DA0"/>
    <w:rsid w:val="00230E48"/>
    <w:rsid w:val="00241FD4"/>
    <w:rsid w:val="00246317"/>
    <w:rsid w:val="00251B12"/>
    <w:rsid w:val="00252A7B"/>
    <w:rsid w:val="00265318"/>
    <w:rsid w:val="00266BE3"/>
    <w:rsid w:val="002740C2"/>
    <w:rsid w:val="002835D7"/>
    <w:rsid w:val="00290FD6"/>
    <w:rsid w:val="00296113"/>
    <w:rsid w:val="002A673A"/>
    <w:rsid w:val="002C5E13"/>
    <w:rsid w:val="002C62BC"/>
    <w:rsid w:val="002E0449"/>
    <w:rsid w:val="002E0EB8"/>
    <w:rsid w:val="002F3E58"/>
    <w:rsid w:val="0030542C"/>
    <w:rsid w:val="00311B7A"/>
    <w:rsid w:val="003126B6"/>
    <w:rsid w:val="00313D9C"/>
    <w:rsid w:val="00325215"/>
    <w:rsid w:val="0033339C"/>
    <w:rsid w:val="0035775D"/>
    <w:rsid w:val="0036086E"/>
    <w:rsid w:val="003874EF"/>
    <w:rsid w:val="003B6D37"/>
    <w:rsid w:val="003C7F80"/>
    <w:rsid w:val="003E1C88"/>
    <w:rsid w:val="00404417"/>
    <w:rsid w:val="00414BD3"/>
    <w:rsid w:val="00424943"/>
    <w:rsid w:val="0042727E"/>
    <w:rsid w:val="0043175C"/>
    <w:rsid w:val="00437296"/>
    <w:rsid w:val="00451590"/>
    <w:rsid w:val="00451871"/>
    <w:rsid w:val="004706DE"/>
    <w:rsid w:val="00472923"/>
    <w:rsid w:val="004822C0"/>
    <w:rsid w:val="00486DCD"/>
    <w:rsid w:val="0049120C"/>
    <w:rsid w:val="004B0C3A"/>
    <w:rsid w:val="004C49A8"/>
    <w:rsid w:val="004D48D7"/>
    <w:rsid w:val="004D5788"/>
    <w:rsid w:val="004E3066"/>
    <w:rsid w:val="004E419C"/>
    <w:rsid w:val="004E74CD"/>
    <w:rsid w:val="004F05E7"/>
    <w:rsid w:val="00524EFD"/>
    <w:rsid w:val="00572067"/>
    <w:rsid w:val="00573562"/>
    <w:rsid w:val="00590ECE"/>
    <w:rsid w:val="005B3F56"/>
    <w:rsid w:val="005C0E90"/>
    <w:rsid w:val="005D0C27"/>
    <w:rsid w:val="005D37CA"/>
    <w:rsid w:val="005D7C08"/>
    <w:rsid w:val="005F5714"/>
    <w:rsid w:val="005F7AE1"/>
    <w:rsid w:val="00600299"/>
    <w:rsid w:val="00611D03"/>
    <w:rsid w:val="00614A29"/>
    <w:rsid w:val="00636109"/>
    <w:rsid w:val="00651BA2"/>
    <w:rsid w:val="0066559C"/>
    <w:rsid w:val="00673D76"/>
    <w:rsid w:val="00684327"/>
    <w:rsid w:val="006854F0"/>
    <w:rsid w:val="0069705C"/>
    <w:rsid w:val="006A0B88"/>
    <w:rsid w:val="006B1C4A"/>
    <w:rsid w:val="006B610D"/>
    <w:rsid w:val="006C206A"/>
    <w:rsid w:val="006E49F5"/>
    <w:rsid w:val="007013C8"/>
    <w:rsid w:val="00727C84"/>
    <w:rsid w:val="0074338E"/>
    <w:rsid w:val="00753836"/>
    <w:rsid w:val="0075393C"/>
    <w:rsid w:val="00754592"/>
    <w:rsid w:val="00776C08"/>
    <w:rsid w:val="007928BD"/>
    <w:rsid w:val="007B49AA"/>
    <w:rsid w:val="007C219A"/>
    <w:rsid w:val="007E1DA8"/>
    <w:rsid w:val="007F0BFC"/>
    <w:rsid w:val="007F1335"/>
    <w:rsid w:val="007F6C26"/>
    <w:rsid w:val="00800B4F"/>
    <w:rsid w:val="00800F72"/>
    <w:rsid w:val="00811795"/>
    <w:rsid w:val="00813208"/>
    <w:rsid w:val="00815157"/>
    <w:rsid w:val="0083348E"/>
    <w:rsid w:val="008334AE"/>
    <w:rsid w:val="00836FED"/>
    <w:rsid w:val="0083724E"/>
    <w:rsid w:val="00841D53"/>
    <w:rsid w:val="00845CD2"/>
    <w:rsid w:val="00852B0D"/>
    <w:rsid w:val="0085425A"/>
    <w:rsid w:val="00862CE4"/>
    <w:rsid w:val="00864B7F"/>
    <w:rsid w:val="00881692"/>
    <w:rsid w:val="00882539"/>
    <w:rsid w:val="008839D6"/>
    <w:rsid w:val="008858FF"/>
    <w:rsid w:val="008A6576"/>
    <w:rsid w:val="008B3CC5"/>
    <w:rsid w:val="008B52CD"/>
    <w:rsid w:val="008C3046"/>
    <w:rsid w:val="008C7C4D"/>
    <w:rsid w:val="008E4261"/>
    <w:rsid w:val="008E70D4"/>
    <w:rsid w:val="008F4662"/>
    <w:rsid w:val="0090563F"/>
    <w:rsid w:val="00905D08"/>
    <w:rsid w:val="00906672"/>
    <w:rsid w:val="00925753"/>
    <w:rsid w:val="00926F24"/>
    <w:rsid w:val="00934992"/>
    <w:rsid w:val="00937F8B"/>
    <w:rsid w:val="009425F4"/>
    <w:rsid w:val="00943860"/>
    <w:rsid w:val="00943BD8"/>
    <w:rsid w:val="00954B2C"/>
    <w:rsid w:val="00966C5C"/>
    <w:rsid w:val="00973104"/>
    <w:rsid w:val="00983CF2"/>
    <w:rsid w:val="009842F6"/>
    <w:rsid w:val="00995BF0"/>
    <w:rsid w:val="009A16D5"/>
    <w:rsid w:val="009A353D"/>
    <w:rsid w:val="009B0B77"/>
    <w:rsid w:val="009B511E"/>
    <w:rsid w:val="009B5215"/>
    <w:rsid w:val="009C6C86"/>
    <w:rsid w:val="009D37D3"/>
    <w:rsid w:val="00A16E6C"/>
    <w:rsid w:val="00A36F96"/>
    <w:rsid w:val="00A40F60"/>
    <w:rsid w:val="00A44E3D"/>
    <w:rsid w:val="00A72D2E"/>
    <w:rsid w:val="00A74447"/>
    <w:rsid w:val="00A74CE5"/>
    <w:rsid w:val="00A77500"/>
    <w:rsid w:val="00A8536F"/>
    <w:rsid w:val="00A911E7"/>
    <w:rsid w:val="00A939D9"/>
    <w:rsid w:val="00AB77AA"/>
    <w:rsid w:val="00AC4748"/>
    <w:rsid w:val="00AD5259"/>
    <w:rsid w:val="00B01D36"/>
    <w:rsid w:val="00B078CD"/>
    <w:rsid w:val="00B20712"/>
    <w:rsid w:val="00B43238"/>
    <w:rsid w:val="00B45DD3"/>
    <w:rsid w:val="00B54B90"/>
    <w:rsid w:val="00B64FA8"/>
    <w:rsid w:val="00B73582"/>
    <w:rsid w:val="00B75216"/>
    <w:rsid w:val="00B755A2"/>
    <w:rsid w:val="00B9104C"/>
    <w:rsid w:val="00B91D52"/>
    <w:rsid w:val="00B9490F"/>
    <w:rsid w:val="00BA1ACD"/>
    <w:rsid w:val="00BB775B"/>
    <w:rsid w:val="00BD09F8"/>
    <w:rsid w:val="00C005B2"/>
    <w:rsid w:val="00C1565C"/>
    <w:rsid w:val="00C21E0F"/>
    <w:rsid w:val="00C362CA"/>
    <w:rsid w:val="00C57C62"/>
    <w:rsid w:val="00C732BF"/>
    <w:rsid w:val="00C772C1"/>
    <w:rsid w:val="00CA7176"/>
    <w:rsid w:val="00CB51D7"/>
    <w:rsid w:val="00CC75B0"/>
    <w:rsid w:val="00CC7B84"/>
    <w:rsid w:val="00CD2773"/>
    <w:rsid w:val="00CE01BA"/>
    <w:rsid w:val="00CE143B"/>
    <w:rsid w:val="00CE3A91"/>
    <w:rsid w:val="00D07DBA"/>
    <w:rsid w:val="00D23C16"/>
    <w:rsid w:val="00D27003"/>
    <w:rsid w:val="00D324AD"/>
    <w:rsid w:val="00D40A9F"/>
    <w:rsid w:val="00D744D4"/>
    <w:rsid w:val="00D9307A"/>
    <w:rsid w:val="00DA76CB"/>
    <w:rsid w:val="00DB4322"/>
    <w:rsid w:val="00DD0996"/>
    <w:rsid w:val="00DD1D0C"/>
    <w:rsid w:val="00DE186D"/>
    <w:rsid w:val="00E167C7"/>
    <w:rsid w:val="00E55B78"/>
    <w:rsid w:val="00E76361"/>
    <w:rsid w:val="00E84020"/>
    <w:rsid w:val="00E906B2"/>
    <w:rsid w:val="00EB7A80"/>
    <w:rsid w:val="00EC47F6"/>
    <w:rsid w:val="00ED1C74"/>
    <w:rsid w:val="00EE6D6D"/>
    <w:rsid w:val="00EF08C9"/>
    <w:rsid w:val="00EF33A9"/>
    <w:rsid w:val="00EF535E"/>
    <w:rsid w:val="00F471F7"/>
    <w:rsid w:val="00F66032"/>
    <w:rsid w:val="00F74B42"/>
    <w:rsid w:val="00F83B96"/>
    <w:rsid w:val="00F8441D"/>
    <w:rsid w:val="00F87C1E"/>
    <w:rsid w:val="00F958C2"/>
    <w:rsid w:val="00FA740E"/>
    <w:rsid w:val="00FC06C7"/>
    <w:rsid w:val="00FD5DB4"/>
    <w:rsid w:val="00FD676E"/>
    <w:rsid w:val="00FE1724"/>
    <w:rsid w:val="00FE5FBF"/>
    <w:rsid w:val="00FE753C"/>
    <w:rsid w:val="00FF2346"/>
    <w:rsid w:val="461D0D58"/>
    <w:rsid w:val="71B123B4"/>
    <w:rsid w:val="7315469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uiPriority w:val="99"/>
    <w:pPr>
      <w:ind w:firstLine="630"/>
    </w:pPr>
    <w:rPr>
      <w:rFonts w:ascii="Calibri" w:hAnsi="Calibri" w:eastAsia="宋体" w:cs="Times New Roman"/>
      <w:sz w:val="32"/>
    </w:rPr>
  </w:style>
  <w:style w:type="paragraph" w:styleId="3">
    <w:name w:val="Balloon Text"/>
    <w:basedOn w:val="1"/>
    <w:link w:val="14"/>
    <w:semiHidden/>
    <w:unhideWhenUsed/>
    <w:qFormat/>
    <w:uiPriority w:val="99"/>
    <w:rPr>
      <w:sz w:val="18"/>
      <w:szCs w:val="18"/>
    </w:rPr>
  </w:style>
  <w:style w:type="paragraph" w:styleId="4">
    <w:name w:val="footer"/>
    <w:basedOn w:val="1"/>
    <w:link w:val="13"/>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5">
    <w:name w:val="header"/>
    <w:basedOn w:val="1"/>
    <w:link w:val="12"/>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6">
    <w:name w:val="toc 1"/>
    <w:basedOn w:val="1"/>
    <w:next w:val="1"/>
    <w:qFormat/>
    <w:uiPriority w:val="39"/>
    <w:rPr>
      <w:rFonts w:ascii="Times New Roman" w:hAnsi="Times New Roman" w:eastAsia="宋体" w:cs="Times New Roman"/>
      <w:szCs w:val="24"/>
    </w:rPr>
  </w:style>
  <w:style w:type="paragraph" w:styleId="7">
    <w:name w:val="footnote text"/>
    <w:basedOn w:val="1"/>
    <w:link w:val="16"/>
    <w:semiHidden/>
    <w:unhideWhenUsed/>
    <w:qFormat/>
    <w:uiPriority w:val="99"/>
    <w:pPr>
      <w:snapToGrid w:val="0"/>
      <w:jc w:val="left"/>
    </w:pPr>
    <w:rPr>
      <w:rFonts w:ascii="Calibri" w:hAnsi="Calibri" w:eastAsia="宋体" w:cs="Times New Roman"/>
      <w:sz w:val="18"/>
      <w:szCs w:val="18"/>
    </w:rPr>
  </w:style>
  <w:style w:type="paragraph" w:styleId="8">
    <w:name w:val="toc 2"/>
    <w:basedOn w:val="1"/>
    <w:next w:val="1"/>
    <w:qFormat/>
    <w:uiPriority w:val="39"/>
    <w:pPr>
      <w:ind w:left="420" w:leftChars="200"/>
    </w:pPr>
    <w:rPr>
      <w:rFonts w:ascii="Times New Roman" w:hAnsi="Times New Roman" w:eastAsia="宋体" w:cs="Times New Roman"/>
      <w:szCs w:val="24"/>
    </w:rPr>
  </w:style>
  <w:style w:type="character" w:styleId="11">
    <w:name w:val="footnote reference"/>
    <w:semiHidden/>
    <w:unhideWhenUsed/>
    <w:qFormat/>
    <w:uiPriority w:val="99"/>
    <w:rPr>
      <w:vertAlign w:val="superscript"/>
    </w:rPr>
  </w:style>
  <w:style w:type="character" w:customStyle="1" w:styleId="12">
    <w:name w:val="页眉 字符"/>
    <w:basedOn w:val="10"/>
    <w:link w:val="5"/>
    <w:qFormat/>
    <w:uiPriority w:val="99"/>
    <w:rPr>
      <w:rFonts w:ascii="Times New Roman" w:hAnsi="Times New Roman" w:eastAsia="宋体" w:cs="Times New Roman"/>
      <w:sz w:val="18"/>
      <w:szCs w:val="18"/>
    </w:rPr>
  </w:style>
  <w:style w:type="character" w:customStyle="1" w:styleId="13">
    <w:name w:val="页脚 字符"/>
    <w:basedOn w:val="10"/>
    <w:link w:val="4"/>
    <w:qFormat/>
    <w:uiPriority w:val="99"/>
    <w:rPr>
      <w:rFonts w:ascii="Times New Roman" w:hAnsi="Times New Roman" w:eastAsia="宋体" w:cs="Times New Roman"/>
      <w:sz w:val="18"/>
      <w:szCs w:val="18"/>
    </w:rPr>
  </w:style>
  <w:style w:type="character" w:customStyle="1" w:styleId="14">
    <w:name w:val="批注框文本 字符"/>
    <w:basedOn w:val="10"/>
    <w:link w:val="3"/>
    <w:semiHidden/>
    <w:qFormat/>
    <w:uiPriority w:val="99"/>
    <w:rPr>
      <w:sz w:val="18"/>
      <w:szCs w:val="18"/>
    </w:rPr>
  </w:style>
  <w:style w:type="paragraph" w:customStyle="1" w:styleId="15">
    <w:name w:val="Default"/>
    <w:qFormat/>
    <w:uiPriority w:val="0"/>
    <w:pPr>
      <w:widowControl w:val="0"/>
      <w:autoSpaceDE w:val="0"/>
      <w:autoSpaceDN w:val="0"/>
      <w:adjustRightInd w:val="0"/>
    </w:pPr>
    <w:rPr>
      <w:rFonts w:ascii="Times New Roman" w:hAnsi="Times New Roman" w:cs="Times New Roman" w:eastAsiaTheme="minorEastAsia"/>
      <w:color w:val="000000"/>
      <w:kern w:val="0"/>
      <w:sz w:val="24"/>
      <w:szCs w:val="24"/>
      <w:lang w:val="en-US" w:eastAsia="zh-CN" w:bidi="ar-SA"/>
    </w:rPr>
  </w:style>
  <w:style w:type="character" w:customStyle="1" w:styleId="16">
    <w:name w:val="脚注文本 字符"/>
    <w:basedOn w:val="10"/>
    <w:link w:val="7"/>
    <w:semiHidden/>
    <w:qFormat/>
    <w:uiPriority w:val="99"/>
    <w:rPr>
      <w:rFonts w:ascii="Calibri" w:hAnsi="Calibri" w:eastAsia="宋体" w:cs="Times New Roman"/>
      <w:sz w:val="18"/>
      <w:szCs w:val="18"/>
    </w:rPr>
  </w:style>
  <w:style w:type="paragraph" w:customStyle="1" w:styleId="17">
    <w:name w:val="p0"/>
    <w:basedOn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F53045B-EB78-4FCB-A445-2DCBB982E891}">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445</Words>
  <Characters>2537</Characters>
  <Lines>21</Lines>
  <Paragraphs>5</Paragraphs>
  <TotalTime>3</TotalTime>
  <ScaleCrop>false</ScaleCrop>
  <LinksUpToDate>false</LinksUpToDate>
  <CharactersWithSpaces>2977</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2019-01-16T09:51:00Z</dcterms:created>
  <dc:creator>guest</dc:creator>
  <cp:lastModifiedBy>Administrator</cp:lastModifiedBy>
  <cp:lastPrinted>2018-01-30T06:12:00Z</cp:lastPrinted>
  <dcterms:modified xsi:type="dcterms:W3CDTF">2020-01-23T09:35:00Z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